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79" w:rsidRPr="00FB276E" w:rsidRDefault="007A0979" w:rsidP="00FB276E">
      <w:pPr>
        <w:spacing w:after="0" w:line="240" w:lineRule="auto"/>
        <w:jc w:val="center"/>
        <w:rPr>
          <w:b/>
          <w:color w:val="244061" w:themeColor="accent1" w:themeShade="80"/>
          <w:sz w:val="40"/>
          <w:szCs w:val="40"/>
        </w:rPr>
      </w:pPr>
      <w:r w:rsidRPr="00FB276E">
        <w:rPr>
          <w:b/>
          <w:color w:val="244061" w:themeColor="accent1" w:themeShade="80"/>
          <w:sz w:val="40"/>
          <w:szCs w:val="40"/>
        </w:rPr>
        <w:t>Health Information Privacy Statement</w:t>
      </w:r>
    </w:p>
    <w:p w:rsidR="007A0979" w:rsidRPr="00FB276E" w:rsidRDefault="007A0979" w:rsidP="00FB276E">
      <w:pPr>
        <w:spacing w:after="0" w:line="240" w:lineRule="auto"/>
        <w:jc w:val="center"/>
        <w:rPr>
          <w:b/>
          <w:color w:val="244061" w:themeColor="accent1" w:themeShade="80"/>
          <w:sz w:val="28"/>
          <w:szCs w:val="28"/>
        </w:rPr>
      </w:pPr>
      <w:r w:rsidRPr="00FB276E">
        <w:rPr>
          <w:b/>
          <w:color w:val="244061" w:themeColor="accent1" w:themeShade="80"/>
          <w:sz w:val="28"/>
          <w:szCs w:val="28"/>
        </w:rPr>
        <w:t>Use and Confidentiality of your Health Information Fact Sheet</w:t>
      </w:r>
    </w:p>
    <w:p w:rsidR="007A0979" w:rsidRDefault="007A0979">
      <w:pPr>
        <w:spacing w:after="0" w:line="240" w:lineRule="auto"/>
      </w:pPr>
    </w:p>
    <w:p w:rsidR="007A0979" w:rsidRPr="00FB276E" w:rsidRDefault="007A0979">
      <w:pPr>
        <w:spacing w:after="0" w:line="240" w:lineRule="auto"/>
        <w:rPr>
          <w:rFonts w:asciiTheme="minorHAnsi" w:hAnsiTheme="minorHAnsi"/>
          <w:sz w:val="20"/>
          <w:szCs w:val="20"/>
        </w:rPr>
      </w:pPr>
      <w:r w:rsidRPr="00FB276E">
        <w:rPr>
          <w:rFonts w:asciiTheme="minorHAnsi" w:hAnsiTheme="minorHAnsi"/>
          <w:sz w:val="20"/>
          <w:szCs w:val="20"/>
        </w:rPr>
        <w:t>Your privacy and confidentiality will be respected.</w:t>
      </w:r>
    </w:p>
    <w:p w:rsidR="007A0979" w:rsidRPr="00FB276E" w:rsidRDefault="007A0979">
      <w:pPr>
        <w:spacing w:after="0" w:line="240" w:lineRule="auto"/>
        <w:rPr>
          <w:rFonts w:asciiTheme="minorHAnsi" w:hAnsiTheme="minorHAnsi"/>
          <w:sz w:val="20"/>
          <w:szCs w:val="20"/>
        </w:rPr>
      </w:pPr>
      <w:r w:rsidRPr="00FB276E">
        <w:rPr>
          <w:rFonts w:asciiTheme="minorHAnsi" w:hAnsiTheme="minorHAnsi"/>
          <w:sz w:val="20"/>
          <w:szCs w:val="20"/>
        </w:rPr>
        <w:t>This fact sheet sets out why we collect your information &amp; how that information will be used.</w:t>
      </w:r>
    </w:p>
    <w:p w:rsidR="007A0979" w:rsidRPr="00FB276E" w:rsidRDefault="007A0979">
      <w:pPr>
        <w:spacing w:after="0" w:line="240" w:lineRule="auto"/>
        <w:rPr>
          <w:rFonts w:asciiTheme="minorHAnsi" w:hAnsiTheme="minorHAnsi"/>
          <w:sz w:val="20"/>
          <w:szCs w:val="20"/>
        </w:rPr>
      </w:pPr>
    </w:p>
    <w:p w:rsidR="007A0979" w:rsidRPr="00FB276E" w:rsidRDefault="007A0979" w:rsidP="00FB276E">
      <w:pPr>
        <w:spacing w:after="0" w:line="240" w:lineRule="auto"/>
        <w:rPr>
          <w:rFonts w:asciiTheme="minorHAnsi" w:hAnsiTheme="minorHAnsi"/>
          <w:b/>
          <w:color w:val="244061" w:themeColor="accent1" w:themeShade="80"/>
          <w:sz w:val="28"/>
          <w:szCs w:val="28"/>
        </w:rPr>
      </w:pPr>
      <w:r w:rsidRPr="00FB276E">
        <w:rPr>
          <w:rFonts w:asciiTheme="minorHAnsi" w:hAnsiTheme="minorHAnsi"/>
          <w:b/>
          <w:color w:val="244061" w:themeColor="accent1" w:themeShade="80"/>
          <w:sz w:val="28"/>
          <w:szCs w:val="28"/>
        </w:rPr>
        <w:t>Purpose</w:t>
      </w:r>
    </w:p>
    <w:p w:rsidR="007A0979" w:rsidRPr="00FB276E" w:rsidRDefault="007A0979">
      <w:pPr>
        <w:spacing w:after="0" w:line="240" w:lineRule="auto"/>
        <w:rPr>
          <w:rFonts w:asciiTheme="minorHAnsi" w:hAnsiTheme="minorHAnsi"/>
          <w:sz w:val="20"/>
          <w:szCs w:val="20"/>
        </w:rPr>
      </w:pPr>
      <w:r w:rsidRPr="00FB276E">
        <w:rPr>
          <w:rFonts w:asciiTheme="minorHAnsi" w:hAnsiTheme="minorHAnsi"/>
          <w:sz w:val="20"/>
          <w:szCs w:val="20"/>
        </w:rPr>
        <w:t>We collect your health information to provide a record of your care. This helps you receive quality treatment and care when you need it.</w:t>
      </w:r>
    </w:p>
    <w:p w:rsidR="007A0979" w:rsidRPr="00FB276E" w:rsidRDefault="007A0979">
      <w:pPr>
        <w:spacing w:after="0" w:line="240" w:lineRule="auto"/>
        <w:rPr>
          <w:rFonts w:asciiTheme="minorHAnsi" w:hAnsiTheme="minorHAnsi"/>
          <w:sz w:val="20"/>
          <w:szCs w:val="20"/>
        </w:rPr>
      </w:pPr>
      <w:r w:rsidRPr="00FB276E">
        <w:rPr>
          <w:rFonts w:asciiTheme="minorHAnsi" w:hAnsiTheme="minorHAnsi"/>
          <w:sz w:val="20"/>
          <w:szCs w:val="20"/>
        </w:rPr>
        <w:t>We also collect your health information to help:</w:t>
      </w:r>
    </w:p>
    <w:tbl>
      <w:tblPr>
        <w:tblStyle w:val="TableGrid"/>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A0979" w:rsidRPr="00FB276E" w:rsidTr="00E625B5">
        <w:tc>
          <w:tcPr>
            <w:tcW w:w="4508" w:type="dxa"/>
          </w:tcPr>
          <w:p w:rsidR="007A0979" w:rsidRPr="00FB276E" w:rsidRDefault="007A0979" w:rsidP="007A0979">
            <w:pPr>
              <w:pStyle w:val="ListParagraph"/>
              <w:numPr>
                <w:ilvl w:val="0"/>
                <w:numId w:val="8"/>
              </w:numPr>
              <w:spacing w:after="0" w:line="240" w:lineRule="auto"/>
              <w:ind w:left="0" w:firstLine="0"/>
              <w:rPr>
                <w:rFonts w:asciiTheme="minorHAnsi" w:hAnsiTheme="minorHAnsi"/>
                <w:sz w:val="20"/>
                <w:szCs w:val="20"/>
              </w:rPr>
            </w:pPr>
            <w:r w:rsidRPr="00FB276E">
              <w:rPr>
                <w:rFonts w:asciiTheme="minorHAnsi" w:hAnsiTheme="minorHAnsi"/>
                <w:sz w:val="20"/>
                <w:szCs w:val="20"/>
              </w:rPr>
              <w:t>keep you and other safe</w:t>
            </w:r>
          </w:p>
        </w:tc>
        <w:tc>
          <w:tcPr>
            <w:tcW w:w="4508" w:type="dxa"/>
          </w:tcPr>
          <w:p w:rsidR="007A0979" w:rsidRPr="00FB276E" w:rsidRDefault="00E625B5" w:rsidP="00E625B5">
            <w:pPr>
              <w:pStyle w:val="ListParagraph"/>
              <w:numPr>
                <w:ilvl w:val="0"/>
                <w:numId w:val="8"/>
              </w:numPr>
              <w:spacing w:after="0" w:line="240" w:lineRule="auto"/>
              <w:rPr>
                <w:rFonts w:asciiTheme="minorHAnsi" w:eastAsia="Times New Roman" w:hAnsiTheme="minorHAnsi" w:cs="Arial"/>
                <w:color w:val="000000"/>
                <w:sz w:val="20"/>
                <w:szCs w:val="20"/>
              </w:rPr>
            </w:pPr>
            <w:r w:rsidRPr="00FB276E">
              <w:rPr>
                <w:rFonts w:asciiTheme="minorHAnsi" w:eastAsia="Times New Roman" w:hAnsiTheme="minorHAnsi" w:cs="Arial"/>
                <w:color w:val="000000"/>
                <w:sz w:val="20"/>
                <w:szCs w:val="20"/>
              </w:rPr>
              <w:t>plan and fund health services</w:t>
            </w:r>
          </w:p>
        </w:tc>
      </w:tr>
      <w:tr w:rsidR="007A0979" w:rsidRPr="00FB276E" w:rsidTr="00E625B5">
        <w:tc>
          <w:tcPr>
            <w:tcW w:w="4508" w:type="dxa"/>
          </w:tcPr>
          <w:p w:rsidR="007A0979" w:rsidRPr="00FB276E" w:rsidRDefault="007A0979" w:rsidP="007A0979">
            <w:pPr>
              <w:pStyle w:val="ListParagraph"/>
              <w:numPr>
                <w:ilvl w:val="0"/>
                <w:numId w:val="8"/>
              </w:numPr>
              <w:spacing w:after="0" w:line="240" w:lineRule="auto"/>
              <w:ind w:left="0" w:firstLine="0"/>
              <w:rPr>
                <w:rFonts w:asciiTheme="minorHAnsi" w:hAnsiTheme="minorHAnsi"/>
                <w:sz w:val="20"/>
                <w:szCs w:val="20"/>
              </w:rPr>
            </w:pPr>
            <w:r w:rsidRPr="00FB276E">
              <w:rPr>
                <w:rFonts w:asciiTheme="minorHAnsi" w:hAnsiTheme="minorHAnsi"/>
                <w:sz w:val="20"/>
                <w:szCs w:val="20"/>
              </w:rPr>
              <w:t>carry out authorised research</w:t>
            </w:r>
          </w:p>
        </w:tc>
        <w:tc>
          <w:tcPr>
            <w:tcW w:w="4508" w:type="dxa"/>
          </w:tcPr>
          <w:p w:rsidR="007A0979" w:rsidRPr="00FB276E" w:rsidRDefault="00E625B5" w:rsidP="00E625B5">
            <w:pPr>
              <w:pStyle w:val="ListParagraph"/>
              <w:numPr>
                <w:ilvl w:val="0"/>
                <w:numId w:val="8"/>
              </w:numPr>
              <w:spacing w:after="0" w:line="240" w:lineRule="auto"/>
              <w:rPr>
                <w:rFonts w:asciiTheme="minorHAnsi" w:eastAsia="Times New Roman" w:hAnsiTheme="minorHAnsi" w:cs="Arial"/>
                <w:color w:val="000000"/>
                <w:sz w:val="20"/>
                <w:szCs w:val="20"/>
              </w:rPr>
            </w:pPr>
            <w:r w:rsidRPr="00FB276E">
              <w:rPr>
                <w:rFonts w:asciiTheme="minorHAnsi" w:eastAsia="Times New Roman" w:hAnsiTheme="minorHAnsi" w:cs="Arial"/>
                <w:color w:val="000000"/>
                <w:sz w:val="20"/>
                <w:szCs w:val="20"/>
              </w:rPr>
              <w:t>train healthcare professionals</w:t>
            </w:r>
          </w:p>
        </w:tc>
      </w:tr>
      <w:tr w:rsidR="007A0979" w:rsidRPr="00FB276E" w:rsidTr="00E625B5">
        <w:tc>
          <w:tcPr>
            <w:tcW w:w="4508" w:type="dxa"/>
          </w:tcPr>
          <w:p w:rsidR="007A0979" w:rsidRPr="00FB276E" w:rsidRDefault="007A0979" w:rsidP="007A0979">
            <w:pPr>
              <w:pStyle w:val="ListParagraph"/>
              <w:numPr>
                <w:ilvl w:val="0"/>
                <w:numId w:val="8"/>
              </w:numPr>
              <w:spacing w:after="0" w:line="240" w:lineRule="auto"/>
              <w:ind w:left="0" w:firstLine="0"/>
              <w:rPr>
                <w:rFonts w:asciiTheme="minorHAnsi" w:hAnsiTheme="minorHAnsi"/>
                <w:sz w:val="20"/>
                <w:szCs w:val="20"/>
              </w:rPr>
            </w:pPr>
            <w:r w:rsidRPr="00FB276E">
              <w:rPr>
                <w:rFonts w:asciiTheme="minorHAnsi" w:hAnsiTheme="minorHAnsi"/>
                <w:sz w:val="20"/>
                <w:szCs w:val="20"/>
              </w:rPr>
              <w:t>Prepare and publish statistics</w:t>
            </w:r>
          </w:p>
        </w:tc>
        <w:tc>
          <w:tcPr>
            <w:tcW w:w="4508" w:type="dxa"/>
          </w:tcPr>
          <w:p w:rsidR="007A0979" w:rsidRPr="00FB276E" w:rsidRDefault="00E625B5" w:rsidP="00E625B5">
            <w:pPr>
              <w:pStyle w:val="ListParagraph"/>
              <w:numPr>
                <w:ilvl w:val="0"/>
                <w:numId w:val="8"/>
              </w:numPr>
              <w:spacing w:after="0" w:line="240" w:lineRule="auto"/>
              <w:rPr>
                <w:rFonts w:asciiTheme="minorHAnsi" w:eastAsia="Times New Roman" w:hAnsiTheme="minorHAnsi" w:cs="Arial"/>
                <w:color w:val="000000"/>
                <w:sz w:val="20"/>
                <w:szCs w:val="20"/>
              </w:rPr>
            </w:pPr>
            <w:r w:rsidRPr="00FB276E">
              <w:rPr>
                <w:rFonts w:asciiTheme="minorHAnsi" w:eastAsia="Times New Roman" w:hAnsiTheme="minorHAnsi" w:cs="Arial"/>
                <w:color w:val="000000"/>
                <w:sz w:val="20"/>
                <w:szCs w:val="20"/>
              </w:rPr>
              <w:t>improve government services</w:t>
            </w:r>
          </w:p>
        </w:tc>
      </w:tr>
    </w:tbl>
    <w:p w:rsidR="007A0979" w:rsidRPr="00FB276E" w:rsidRDefault="007A0979">
      <w:pPr>
        <w:spacing w:after="0" w:line="240" w:lineRule="auto"/>
        <w:rPr>
          <w:rFonts w:asciiTheme="minorHAnsi" w:eastAsia="Times New Roman" w:hAnsiTheme="minorHAnsi" w:cs="Symbol"/>
          <w:color w:val="000000"/>
          <w:sz w:val="20"/>
          <w:szCs w:val="20"/>
        </w:rPr>
      </w:pPr>
    </w:p>
    <w:p w:rsidR="007A0979" w:rsidRPr="00FB276E" w:rsidRDefault="00E625B5" w:rsidP="00FB276E">
      <w:pPr>
        <w:pStyle w:val="Default"/>
        <w:spacing w:after="80"/>
        <w:rPr>
          <w:rFonts w:asciiTheme="minorHAnsi" w:hAnsiTheme="minorHAnsi" w:cs="Arial"/>
          <w:b/>
          <w:color w:val="244061" w:themeColor="accent1" w:themeShade="80"/>
          <w:sz w:val="28"/>
          <w:szCs w:val="28"/>
        </w:rPr>
      </w:pPr>
      <w:r w:rsidRPr="00FB276E">
        <w:rPr>
          <w:rFonts w:asciiTheme="minorHAnsi" w:hAnsiTheme="minorHAnsi" w:cs="Arial"/>
          <w:b/>
          <w:color w:val="244061" w:themeColor="accent1" w:themeShade="80"/>
          <w:sz w:val="28"/>
          <w:szCs w:val="28"/>
        </w:rPr>
        <w:t>Confidentiality, Information Sharing &amp; Accuracy</w:t>
      </w:r>
    </w:p>
    <w:p w:rsidR="00E625B5" w:rsidRPr="00FB276E" w:rsidRDefault="00E625B5" w:rsidP="007A0979">
      <w:pPr>
        <w:pStyle w:val="Default"/>
        <w:spacing w:after="80"/>
        <w:rPr>
          <w:rFonts w:asciiTheme="minorHAnsi" w:hAnsiTheme="minorHAnsi" w:cs="Arial"/>
          <w:sz w:val="20"/>
          <w:szCs w:val="20"/>
        </w:rPr>
      </w:pPr>
      <w:r w:rsidRPr="00FB276E">
        <w:rPr>
          <w:rFonts w:asciiTheme="minorHAnsi" w:hAnsiTheme="minorHAnsi" w:cs="Arial"/>
          <w:sz w:val="20"/>
          <w:szCs w:val="20"/>
        </w:rPr>
        <w:t>Your privacy and the confidentiality of your information is really important to us.</w:t>
      </w:r>
    </w:p>
    <w:p w:rsidR="00E625B5" w:rsidRPr="00FB276E" w:rsidRDefault="00E625B5" w:rsidP="00FB276E">
      <w:pPr>
        <w:pStyle w:val="Default"/>
        <w:numPr>
          <w:ilvl w:val="0"/>
          <w:numId w:val="10"/>
        </w:numPr>
        <w:spacing w:after="80"/>
        <w:ind w:left="142" w:hanging="142"/>
        <w:rPr>
          <w:rFonts w:asciiTheme="minorHAnsi" w:hAnsiTheme="minorHAnsi" w:cs="Arial"/>
          <w:sz w:val="20"/>
          <w:szCs w:val="20"/>
        </w:rPr>
      </w:pPr>
      <w:r w:rsidRPr="00FB276E">
        <w:rPr>
          <w:rFonts w:asciiTheme="minorHAnsi" w:hAnsiTheme="minorHAnsi" w:cs="Arial"/>
          <w:sz w:val="20"/>
          <w:szCs w:val="20"/>
        </w:rPr>
        <w:t xml:space="preserve">Your health practitioner will record relevant information from your consultation in your notes. </w:t>
      </w:r>
    </w:p>
    <w:p w:rsidR="00E625B5" w:rsidRPr="00FB276E" w:rsidRDefault="00E625B5"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Your health information will be shared with others involved in your healthcare and with other agencies with your consent, or of authorised by law.</w:t>
      </w:r>
    </w:p>
    <w:p w:rsidR="00E625B5" w:rsidRPr="00FB276E" w:rsidRDefault="00E625B5"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 xml:space="preserve">You have the right to know where your information is kept, who has access rights, and, if the system has audit log capability, who has viewed or updated your information. </w:t>
      </w:r>
    </w:p>
    <w:p w:rsidR="00E625B5" w:rsidRPr="00FB276E" w:rsidRDefault="00E625B5"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Your information will be kept securely to prevent unauthorised access.</w:t>
      </w:r>
    </w:p>
    <w:p w:rsidR="00E625B5" w:rsidRDefault="00E625B5"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We are required to keep your information accurate, up-to-date and relevant for your treatment and care.</w:t>
      </w:r>
    </w:p>
    <w:p w:rsidR="00FB276E" w:rsidRPr="00FB276E" w:rsidRDefault="00FB276E" w:rsidP="00FB276E">
      <w:pPr>
        <w:pStyle w:val="Default"/>
        <w:spacing w:after="80"/>
        <w:ind w:left="142"/>
        <w:rPr>
          <w:rFonts w:asciiTheme="minorHAnsi" w:hAnsiTheme="minorHAnsi" w:cs="Arial"/>
          <w:sz w:val="20"/>
          <w:szCs w:val="20"/>
        </w:rPr>
      </w:pPr>
    </w:p>
    <w:p w:rsidR="00E625B5" w:rsidRPr="00FB276E" w:rsidRDefault="00E625B5" w:rsidP="00E625B5">
      <w:pPr>
        <w:pStyle w:val="Default"/>
        <w:spacing w:after="80"/>
        <w:rPr>
          <w:rFonts w:asciiTheme="minorHAnsi" w:hAnsiTheme="minorHAnsi" w:cs="Arial"/>
          <w:b/>
          <w:color w:val="244061" w:themeColor="accent1" w:themeShade="80"/>
          <w:sz w:val="28"/>
          <w:szCs w:val="28"/>
        </w:rPr>
      </w:pPr>
      <w:r w:rsidRPr="00FB276E">
        <w:rPr>
          <w:rFonts w:asciiTheme="minorHAnsi" w:hAnsiTheme="minorHAnsi" w:cs="Arial"/>
          <w:b/>
          <w:color w:val="244061" w:themeColor="accent1" w:themeShade="80"/>
          <w:sz w:val="28"/>
          <w:szCs w:val="28"/>
        </w:rPr>
        <w:t>Right to Access and Correct</w:t>
      </w:r>
    </w:p>
    <w:p w:rsidR="00E625B5" w:rsidRPr="00FB276E" w:rsidRDefault="00E625B5"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You have the right to access and correct your health information.</w:t>
      </w:r>
    </w:p>
    <w:p w:rsidR="00E625B5" w:rsidRPr="00FB276E" w:rsidRDefault="00E625B5"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You have the right to see and request a copy of your health information.</w:t>
      </w:r>
    </w:p>
    <w:p w:rsidR="00E625B5" w:rsidRPr="00FB276E" w:rsidRDefault="00E625B5"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 xml:space="preserve">You can ask for health information about you to be corrected. Practice staff should provide you with reasonable assistance. If your healthcare provider chooses not to change that information, you can have this noted on your file. </w:t>
      </w:r>
    </w:p>
    <w:p w:rsidR="00E625B5" w:rsidRDefault="00E625B5"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 xml:space="preserve">Patient portals allow you to book on-line, request repeat prescriptions and view some of your health records. Ask your practice if they’re offering a portal so you can register. </w:t>
      </w:r>
    </w:p>
    <w:p w:rsidR="00FB276E" w:rsidRPr="00FB276E" w:rsidRDefault="00FB276E" w:rsidP="00FB276E">
      <w:pPr>
        <w:pStyle w:val="Default"/>
        <w:spacing w:after="80"/>
        <w:ind w:left="142"/>
        <w:rPr>
          <w:rFonts w:asciiTheme="minorHAnsi" w:hAnsiTheme="minorHAnsi" w:cs="Arial"/>
          <w:sz w:val="20"/>
          <w:szCs w:val="20"/>
        </w:rPr>
      </w:pPr>
    </w:p>
    <w:p w:rsidR="00E625B5" w:rsidRPr="00FB276E" w:rsidRDefault="00E625B5" w:rsidP="00E625B5">
      <w:pPr>
        <w:pStyle w:val="Default"/>
        <w:spacing w:after="80"/>
        <w:rPr>
          <w:rFonts w:asciiTheme="minorHAnsi" w:hAnsiTheme="minorHAnsi" w:cs="Arial"/>
          <w:b/>
          <w:color w:val="244061" w:themeColor="accent1" w:themeShade="80"/>
          <w:sz w:val="28"/>
          <w:szCs w:val="28"/>
        </w:rPr>
      </w:pPr>
      <w:r w:rsidRPr="00FB276E">
        <w:rPr>
          <w:rFonts w:asciiTheme="minorHAnsi" w:hAnsiTheme="minorHAnsi" w:cs="Arial"/>
          <w:b/>
          <w:color w:val="244061" w:themeColor="accent1" w:themeShade="80"/>
          <w:sz w:val="28"/>
          <w:szCs w:val="28"/>
        </w:rPr>
        <w:t xml:space="preserve">Use of Your </w:t>
      </w:r>
      <w:r w:rsidR="00FB276E" w:rsidRPr="00FB276E">
        <w:rPr>
          <w:rFonts w:asciiTheme="minorHAnsi" w:hAnsiTheme="minorHAnsi" w:cs="Arial"/>
          <w:b/>
          <w:color w:val="244061" w:themeColor="accent1" w:themeShade="80"/>
          <w:sz w:val="28"/>
          <w:szCs w:val="28"/>
        </w:rPr>
        <w:t>Health</w:t>
      </w:r>
      <w:r w:rsidRPr="00FB276E">
        <w:rPr>
          <w:rFonts w:asciiTheme="minorHAnsi" w:hAnsiTheme="minorHAnsi" w:cs="Arial"/>
          <w:b/>
          <w:color w:val="244061" w:themeColor="accent1" w:themeShade="80"/>
          <w:sz w:val="28"/>
          <w:szCs w:val="28"/>
        </w:rPr>
        <w:t xml:space="preserve"> Information</w:t>
      </w:r>
    </w:p>
    <w:p w:rsidR="00E625B5" w:rsidRPr="00FB276E" w:rsidRDefault="00E625B5" w:rsidP="00E625B5">
      <w:pPr>
        <w:pStyle w:val="Default"/>
        <w:spacing w:after="80"/>
        <w:rPr>
          <w:rFonts w:asciiTheme="minorHAnsi" w:hAnsiTheme="minorHAnsi" w:cs="Arial"/>
          <w:sz w:val="20"/>
          <w:szCs w:val="20"/>
        </w:rPr>
      </w:pPr>
      <w:r w:rsidRPr="00FB276E">
        <w:rPr>
          <w:rFonts w:asciiTheme="minorHAnsi" w:hAnsiTheme="minorHAnsi" w:cs="Arial"/>
          <w:sz w:val="20"/>
          <w:szCs w:val="20"/>
        </w:rPr>
        <w:t xml:space="preserve">Below are some examples of how your </w:t>
      </w:r>
      <w:r w:rsidR="00FB276E" w:rsidRPr="00FB276E">
        <w:rPr>
          <w:rFonts w:asciiTheme="minorHAnsi" w:hAnsiTheme="minorHAnsi" w:cs="Arial"/>
          <w:sz w:val="20"/>
          <w:szCs w:val="20"/>
        </w:rPr>
        <w:t>health</w:t>
      </w:r>
      <w:r w:rsidRPr="00FB276E">
        <w:rPr>
          <w:rFonts w:asciiTheme="minorHAnsi" w:hAnsiTheme="minorHAnsi" w:cs="Arial"/>
          <w:sz w:val="20"/>
          <w:szCs w:val="20"/>
        </w:rPr>
        <w:t xml:space="preserve"> information is used.</w:t>
      </w:r>
    </w:p>
    <w:p w:rsidR="00E625B5" w:rsidRPr="00FB276E" w:rsidRDefault="00E625B5"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 xml:space="preserve">Your practice is contracted to Western Bay of Plenty Primary </w:t>
      </w:r>
      <w:r w:rsidR="00FB276E" w:rsidRPr="00FB276E">
        <w:rPr>
          <w:rFonts w:asciiTheme="minorHAnsi" w:hAnsiTheme="minorHAnsi" w:cs="Arial"/>
          <w:sz w:val="20"/>
          <w:szCs w:val="20"/>
        </w:rPr>
        <w:t>Health</w:t>
      </w:r>
      <w:r w:rsidRPr="00FB276E">
        <w:rPr>
          <w:rFonts w:asciiTheme="minorHAnsi" w:hAnsiTheme="minorHAnsi" w:cs="Arial"/>
          <w:sz w:val="20"/>
          <w:szCs w:val="20"/>
        </w:rPr>
        <w:t xml:space="preserve"> Organisation (PHO)</w:t>
      </w:r>
      <w:r w:rsidR="00FB276E" w:rsidRPr="00FB276E">
        <w:rPr>
          <w:rFonts w:asciiTheme="minorHAnsi" w:hAnsiTheme="minorHAnsi" w:cs="Arial"/>
          <w:sz w:val="20"/>
          <w:szCs w:val="20"/>
        </w:rPr>
        <w:t>, the WBOPPHO may use your information for clinical and administrative purposes including obtaining subsidised funding for you.</w:t>
      </w:r>
    </w:p>
    <w:p w:rsidR="00FB276E" w:rsidRPr="00FB276E" w:rsidRDefault="00FB276E" w:rsidP="00FB276E">
      <w:pPr>
        <w:pStyle w:val="Default"/>
        <w:numPr>
          <w:ilvl w:val="0"/>
          <w:numId w:val="9"/>
        </w:numPr>
        <w:spacing w:after="80"/>
        <w:ind w:left="142" w:hanging="142"/>
        <w:rPr>
          <w:rFonts w:asciiTheme="minorHAnsi" w:hAnsiTheme="minorHAnsi" w:cs="Arial"/>
          <w:sz w:val="20"/>
          <w:szCs w:val="20"/>
        </w:rPr>
      </w:pPr>
      <w:r w:rsidRPr="00FB276E">
        <w:rPr>
          <w:rFonts w:asciiTheme="minorHAnsi" w:hAnsiTheme="minorHAnsi" w:cs="Arial"/>
          <w:sz w:val="20"/>
          <w:szCs w:val="20"/>
        </w:rPr>
        <w:t xml:space="preserve">Your District Health Board BOPDHB uses your information to provide treatment and care, and to improve the quality if its services. </w:t>
      </w:r>
    </w:p>
    <w:p w:rsidR="00FD2DCB" w:rsidRPr="007A0979" w:rsidRDefault="00FD2DCB" w:rsidP="00FB276E">
      <w:pPr>
        <w:pStyle w:val="Default"/>
        <w:numPr>
          <w:ilvl w:val="0"/>
          <w:numId w:val="9"/>
        </w:numPr>
        <w:spacing w:after="80"/>
        <w:ind w:left="142" w:hanging="142"/>
        <w:rPr>
          <w:rFonts w:ascii="Calibri" w:hAnsi="Calibri" w:cs="Calibri"/>
          <w:sz w:val="20"/>
          <w:szCs w:val="20"/>
        </w:rPr>
      </w:pPr>
      <w:r w:rsidRPr="007A0979">
        <w:rPr>
          <w:rFonts w:ascii="Calibri" w:hAnsi="Calibri" w:cs="Calibri"/>
          <w:sz w:val="20"/>
          <w:szCs w:val="20"/>
        </w:rPr>
        <w:t xml:space="preserve">A clinical audit may be conducted by a qualified health practitioner to review the quality of services provided to you. They may also view health records if the audit involves checking on health matters. </w:t>
      </w:r>
    </w:p>
    <w:p w:rsidR="00FD2DCB" w:rsidRPr="007A0979" w:rsidRDefault="00FD2DCB" w:rsidP="00FB276E">
      <w:pPr>
        <w:pStyle w:val="Default"/>
        <w:numPr>
          <w:ilvl w:val="1"/>
          <w:numId w:val="9"/>
        </w:numPr>
        <w:spacing w:after="80"/>
        <w:ind w:left="142" w:hanging="142"/>
        <w:rPr>
          <w:rFonts w:ascii="Calibri" w:hAnsi="Calibri" w:cs="Calibri"/>
          <w:sz w:val="20"/>
          <w:szCs w:val="20"/>
        </w:rPr>
      </w:pPr>
      <w:r w:rsidRPr="007A0979">
        <w:rPr>
          <w:rFonts w:ascii="Calibri" w:hAnsi="Calibri" w:cs="Calibri"/>
          <w:sz w:val="20"/>
          <w:szCs w:val="20"/>
        </w:rPr>
        <w:t xml:space="preserve">When you choose to register in a national screening health programme, relevant information may be shared with other health agencies. </w:t>
      </w:r>
    </w:p>
    <w:p w:rsidR="00FD2DCB" w:rsidRPr="007A0979" w:rsidRDefault="00FD2DCB" w:rsidP="00FB276E">
      <w:pPr>
        <w:pStyle w:val="Default"/>
        <w:numPr>
          <w:ilvl w:val="1"/>
          <w:numId w:val="9"/>
        </w:numPr>
        <w:spacing w:after="80"/>
        <w:ind w:left="142" w:hanging="142"/>
        <w:rPr>
          <w:rFonts w:ascii="Calibri" w:hAnsi="Calibri" w:cs="Calibri"/>
          <w:sz w:val="20"/>
          <w:szCs w:val="20"/>
        </w:rPr>
      </w:pPr>
      <w:r w:rsidRPr="007A0979">
        <w:rPr>
          <w:rFonts w:ascii="Calibri" w:hAnsi="Calibri" w:cs="Calibri"/>
          <w:sz w:val="20"/>
          <w:szCs w:val="20"/>
        </w:rPr>
        <w:t xml:space="preserve">The Ministry of Health uses your demographic information to assign a unique number to you on the National Health Index (NHI). This NHI number will help identify you when you use health services. </w:t>
      </w:r>
    </w:p>
    <w:p w:rsidR="00FD2DCB" w:rsidRPr="007A0979" w:rsidRDefault="00FD2DCB" w:rsidP="00FB276E">
      <w:pPr>
        <w:pStyle w:val="Default"/>
        <w:numPr>
          <w:ilvl w:val="1"/>
          <w:numId w:val="9"/>
        </w:numPr>
        <w:spacing w:after="80"/>
        <w:ind w:left="142" w:hanging="142"/>
        <w:rPr>
          <w:rFonts w:ascii="Calibri" w:hAnsi="Calibri" w:cs="Calibri"/>
          <w:sz w:val="20"/>
          <w:szCs w:val="20"/>
        </w:rPr>
      </w:pPr>
      <w:r w:rsidRPr="007A0979">
        <w:rPr>
          <w:rFonts w:ascii="Calibri" w:hAnsi="Calibri" w:cs="Calibri"/>
          <w:sz w:val="20"/>
          <w:szCs w:val="20"/>
        </w:rPr>
        <w:t xml:space="preserve">The Ministry of Health holds health information to measure how well health services are delivered and to plan and fund future health services. Auditors may occasionally conduct financial audits of your health </w:t>
      </w:r>
      <w:r w:rsidRPr="007A0979">
        <w:rPr>
          <w:rFonts w:ascii="Calibri" w:hAnsi="Calibri" w:cs="Calibri"/>
          <w:sz w:val="20"/>
          <w:szCs w:val="20"/>
        </w:rPr>
        <w:lastRenderedPageBreak/>
        <w:t xml:space="preserve">practitioner. The auditors may review your records and may contact you to check that you received those services. </w:t>
      </w:r>
    </w:p>
    <w:p w:rsidR="00FD2DCB" w:rsidRPr="007A0979" w:rsidRDefault="00FD2DCB" w:rsidP="00DF604A">
      <w:pPr>
        <w:pStyle w:val="Default"/>
        <w:spacing w:after="80"/>
        <w:rPr>
          <w:rFonts w:ascii="Calibri" w:hAnsi="Calibri" w:cs="Calibri"/>
          <w:sz w:val="20"/>
          <w:szCs w:val="20"/>
        </w:rPr>
      </w:pPr>
      <w:r w:rsidRPr="007A0979">
        <w:rPr>
          <w:rFonts w:ascii="Calibri" w:hAnsi="Calibri" w:cs="Calibri"/>
          <w:sz w:val="20"/>
          <w:szCs w:val="20"/>
        </w:rPr>
        <w:t xml:space="preserve">• Notification of births and deaths to the Births, Deaths and Marriages register may be performed electronically to streamline a person’s interactions with government. </w:t>
      </w:r>
    </w:p>
    <w:p w:rsidR="00FD2DCB" w:rsidRDefault="00FD2DCB" w:rsidP="00DF604A">
      <w:pPr>
        <w:pStyle w:val="Default"/>
        <w:rPr>
          <w:rFonts w:ascii="Calibri" w:hAnsi="Calibri" w:cs="Calibri"/>
          <w:sz w:val="23"/>
          <w:szCs w:val="23"/>
        </w:rPr>
      </w:pPr>
    </w:p>
    <w:p w:rsidR="00FD2DCB" w:rsidRPr="008866A5" w:rsidRDefault="00FD2DCB" w:rsidP="00FD2DCB">
      <w:pPr>
        <w:pStyle w:val="Default"/>
        <w:rPr>
          <w:rFonts w:ascii="Calibri" w:hAnsi="Calibri" w:cs="Calibri"/>
          <w:color w:val="244061" w:themeColor="accent1" w:themeShade="80"/>
          <w:sz w:val="28"/>
          <w:szCs w:val="28"/>
        </w:rPr>
      </w:pPr>
      <w:r w:rsidRPr="008866A5">
        <w:rPr>
          <w:rFonts w:ascii="Calibri" w:hAnsi="Calibri" w:cs="Calibri"/>
          <w:b/>
          <w:bCs/>
          <w:color w:val="244061" w:themeColor="accent1" w:themeShade="80"/>
          <w:sz w:val="28"/>
          <w:szCs w:val="28"/>
        </w:rPr>
        <w:t xml:space="preserve">Research </w:t>
      </w:r>
    </w:p>
    <w:p w:rsidR="00FD2DCB" w:rsidRPr="007A0979" w:rsidRDefault="00FD2DCB" w:rsidP="00FD2DCB">
      <w:pPr>
        <w:pStyle w:val="Default"/>
        <w:rPr>
          <w:rFonts w:ascii="Calibri" w:hAnsi="Calibri" w:cs="Calibri"/>
          <w:sz w:val="20"/>
          <w:szCs w:val="20"/>
        </w:rPr>
      </w:pPr>
      <w:r w:rsidRPr="007A0979">
        <w:rPr>
          <w:rFonts w:ascii="Calibri" w:hAnsi="Calibri" w:cs="Calibri"/>
          <w:sz w:val="20"/>
          <w:szCs w:val="20"/>
        </w:rPr>
        <w:t xml:space="preserve">Your health information may be used in research approved by an ethics committee or when it has had identifying details removed. </w:t>
      </w:r>
    </w:p>
    <w:p w:rsidR="00FD2DCB" w:rsidRPr="007A0979" w:rsidRDefault="00FD2DCB" w:rsidP="00DF604A">
      <w:pPr>
        <w:pStyle w:val="Default"/>
        <w:spacing w:after="82"/>
        <w:rPr>
          <w:rFonts w:ascii="Calibri" w:hAnsi="Calibri" w:cs="Calibri"/>
          <w:sz w:val="20"/>
          <w:szCs w:val="20"/>
        </w:rPr>
      </w:pPr>
      <w:r w:rsidRPr="007A0979">
        <w:rPr>
          <w:rFonts w:ascii="Calibri" w:hAnsi="Calibri" w:cs="Calibri"/>
          <w:sz w:val="20"/>
          <w:szCs w:val="20"/>
        </w:rPr>
        <w:t xml:space="preserve">• Research which may directly or indirectly identify you can only be published if the researcher has previously obtained your consent and the study has received ethics approval. </w:t>
      </w:r>
    </w:p>
    <w:p w:rsidR="00FD2DCB" w:rsidRPr="007A0979" w:rsidRDefault="00FD2DCB" w:rsidP="00DF604A">
      <w:pPr>
        <w:pStyle w:val="Default"/>
        <w:rPr>
          <w:rFonts w:ascii="Calibri" w:hAnsi="Calibri" w:cs="Calibri"/>
          <w:sz w:val="20"/>
          <w:szCs w:val="20"/>
        </w:rPr>
      </w:pPr>
      <w:r w:rsidRPr="007A0979">
        <w:rPr>
          <w:rFonts w:ascii="Calibri" w:hAnsi="Calibri" w:cs="Calibri"/>
          <w:sz w:val="20"/>
          <w:szCs w:val="20"/>
        </w:rPr>
        <w:t xml:space="preserve">• Under the law, you are not required to give consent to the use of your health information if it’s for unpublished research or statistical purposes, or if it’s published in a way that doesn’t identify you. </w:t>
      </w:r>
    </w:p>
    <w:p w:rsidR="00FD2DCB" w:rsidRDefault="00FD2DCB" w:rsidP="00FD2DCB">
      <w:pPr>
        <w:pStyle w:val="Default"/>
        <w:rPr>
          <w:rFonts w:ascii="Calibri" w:hAnsi="Calibri" w:cs="Calibri"/>
          <w:sz w:val="23"/>
          <w:szCs w:val="23"/>
        </w:rPr>
      </w:pPr>
    </w:p>
    <w:p w:rsidR="00FD2DCB" w:rsidRPr="008866A5" w:rsidRDefault="00FD2DCB" w:rsidP="00FD2DCB">
      <w:pPr>
        <w:pStyle w:val="Default"/>
        <w:rPr>
          <w:rFonts w:ascii="Calibri" w:hAnsi="Calibri" w:cs="Calibri"/>
          <w:color w:val="244061" w:themeColor="accent1" w:themeShade="80"/>
          <w:sz w:val="28"/>
          <w:szCs w:val="28"/>
        </w:rPr>
      </w:pPr>
      <w:r w:rsidRPr="008866A5">
        <w:rPr>
          <w:rFonts w:ascii="Calibri" w:hAnsi="Calibri" w:cs="Calibri"/>
          <w:b/>
          <w:bCs/>
          <w:color w:val="244061" w:themeColor="accent1" w:themeShade="80"/>
          <w:sz w:val="28"/>
          <w:szCs w:val="28"/>
        </w:rPr>
        <w:t xml:space="preserve">Complaints </w:t>
      </w:r>
    </w:p>
    <w:p w:rsidR="00FD2DCB" w:rsidRPr="007A0979" w:rsidRDefault="00FD2DCB" w:rsidP="00FD2DCB">
      <w:pPr>
        <w:pStyle w:val="Default"/>
        <w:rPr>
          <w:rFonts w:ascii="Calibri" w:hAnsi="Calibri" w:cs="Calibri"/>
          <w:sz w:val="20"/>
          <w:szCs w:val="20"/>
        </w:rPr>
      </w:pPr>
      <w:r w:rsidRPr="007A0979">
        <w:rPr>
          <w:rFonts w:ascii="Calibri" w:hAnsi="Calibri" w:cs="Calibri"/>
          <w:sz w:val="20"/>
          <w:szCs w:val="20"/>
        </w:rPr>
        <w:t xml:space="preserve">It’s OK to complain if you’re not happy with the way your health information is collected or used. </w:t>
      </w:r>
    </w:p>
    <w:p w:rsidR="008866A5" w:rsidRPr="007A0979" w:rsidRDefault="00FD2DCB" w:rsidP="00FD2DCB">
      <w:pPr>
        <w:pStyle w:val="Default"/>
        <w:rPr>
          <w:rFonts w:ascii="Calibri" w:hAnsi="Calibri" w:cs="Calibri"/>
          <w:sz w:val="20"/>
          <w:szCs w:val="20"/>
        </w:rPr>
      </w:pPr>
      <w:r w:rsidRPr="007A0979">
        <w:rPr>
          <w:rFonts w:ascii="Calibri" w:hAnsi="Calibri" w:cs="Calibri"/>
          <w:sz w:val="20"/>
          <w:szCs w:val="20"/>
        </w:rPr>
        <w:t>Talk to your healthcare provider in the first instance. If you are still unhappy with the response you can call the Office of the Privacy Commissioner toll-free on 0800 803 909, as they can investigate this further.</w:t>
      </w:r>
    </w:p>
    <w:p w:rsidR="00FD2DCB" w:rsidRDefault="00FD2DCB" w:rsidP="00FD2DCB">
      <w:pPr>
        <w:pStyle w:val="Default"/>
        <w:rPr>
          <w:rFonts w:ascii="Calibri" w:hAnsi="Calibri" w:cs="Calibri"/>
          <w:sz w:val="23"/>
          <w:szCs w:val="23"/>
        </w:rPr>
      </w:pPr>
      <w:r>
        <w:rPr>
          <w:rFonts w:ascii="Calibri" w:hAnsi="Calibri" w:cs="Calibri"/>
          <w:sz w:val="23"/>
          <w:szCs w:val="23"/>
        </w:rPr>
        <w:t xml:space="preserve"> </w:t>
      </w:r>
    </w:p>
    <w:p w:rsidR="00FD2DCB" w:rsidRPr="008866A5" w:rsidRDefault="00FD2DCB" w:rsidP="00FD2DCB">
      <w:pPr>
        <w:pStyle w:val="Default"/>
        <w:rPr>
          <w:rFonts w:ascii="Calibri" w:hAnsi="Calibri" w:cs="Calibri"/>
          <w:color w:val="244061" w:themeColor="accent1" w:themeShade="80"/>
          <w:sz w:val="28"/>
          <w:szCs w:val="28"/>
        </w:rPr>
      </w:pPr>
      <w:r w:rsidRPr="008866A5">
        <w:rPr>
          <w:rFonts w:ascii="Calibri" w:hAnsi="Calibri" w:cs="Calibri"/>
          <w:b/>
          <w:bCs/>
          <w:color w:val="244061" w:themeColor="accent1" w:themeShade="80"/>
          <w:sz w:val="28"/>
          <w:szCs w:val="28"/>
        </w:rPr>
        <w:t xml:space="preserve">For further information </w:t>
      </w:r>
    </w:p>
    <w:p w:rsidR="00FD2DCB" w:rsidRPr="007A0979" w:rsidRDefault="00FD2DCB" w:rsidP="00FB276E">
      <w:pPr>
        <w:pStyle w:val="Default"/>
        <w:numPr>
          <w:ilvl w:val="0"/>
          <w:numId w:val="11"/>
        </w:numPr>
        <w:ind w:left="142" w:hanging="142"/>
        <w:rPr>
          <w:rFonts w:ascii="Calibri" w:hAnsi="Calibri" w:cs="Calibri"/>
          <w:sz w:val="20"/>
          <w:szCs w:val="20"/>
        </w:rPr>
      </w:pPr>
      <w:r w:rsidRPr="007A0979">
        <w:rPr>
          <w:rFonts w:ascii="Calibri" w:hAnsi="Calibri" w:cs="Calibri"/>
          <w:sz w:val="20"/>
          <w:szCs w:val="20"/>
        </w:rPr>
        <w:t xml:space="preserve">Visit </w:t>
      </w:r>
      <w:hyperlink r:id="rId8" w:history="1">
        <w:r w:rsidRPr="00FB276E">
          <w:rPr>
            <w:rStyle w:val="Hyperlink"/>
            <w:rFonts w:ascii="Calibri" w:hAnsi="Calibri" w:cs="Calibri"/>
            <w:color w:val="244061" w:themeColor="accent1" w:themeShade="80"/>
            <w:sz w:val="20"/>
            <w:szCs w:val="20"/>
          </w:rPr>
          <w:t>www.legislation.govt.nz</w:t>
        </w:r>
      </w:hyperlink>
      <w:r w:rsidRPr="00FB276E">
        <w:rPr>
          <w:rFonts w:ascii="Calibri" w:hAnsi="Calibri" w:cs="Calibri"/>
          <w:color w:val="244061" w:themeColor="accent1" w:themeShade="80"/>
          <w:sz w:val="20"/>
          <w:szCs w:val="20"/>
        </w:rPr>
        <w:t xml:space="preserve"> </w:t>
      </w:r>
      <w:r w:rsidRPr="007A0979">
        <w:rPr>
          <w:rFonts w:ascii="Calibri" w:hAnsi="Calibri" w:cs="Calibri"/>
          <w:sz w:val="20"/>
          <w:szCs w:val="20"/>
        </w:rPr>
        <w:t xml:space="preserve">to access the Health Act 1956, Official Information Act 1982, </w:t>
      </w:r>
      <w:r w:rsidR="00DF604A" w:rsidRPr="007A0979">
        <w:rPr>
          <w:rFonts w:ascii="Calibri" w:hAnsi="Calibri" w:cs="Calibri"/>
          <w:sz w:val="20"/>
          <w:szCs w:val="20"/>
        </w:rPr>
        <w:t>and</w:t>
      </w:r>
      <w:r w:rsidR="007A0979">
        <w:rPr>
          <w:rFonts w:ascii="Calibri" w:hAnsi="Calibri" w:cs="Calibri"/>
          <w:sz w:val="20"/>
          <w:szCs w:val="20"/>
        </w:rPr>
        <w:t xml:space="preserve">                       </w:t>
      </w:r>
      <w:r w:rsidR="00DF604A" w:rsidRPr="007A0979">
        <w:rPr>
          <w:rFonts w:ascii="Calibri" w:hAnsi="Calibri" w:cs="Calibri"/>
          <w:sz w:val="20"/>
          <w:szCs w:val="20"/>
        </w:rPr>
        <w:t xml:space="preserve"> Privacy</w:t>
      </w:r>
      <w:r w:rsidR="007A0979">
        <w:rPr>
          <w:rFonts w:ascii="Calibri" w:hAnsi="Calibri" w:cs="Calibri"/>
          <w:sz w:val="20"/>
          <w:szCs w:val="20"/>
        </w:rPr>
        <w:t xml:space="preserve"> Act 2020.</w:t>
      </w:r>
    </w:p>
    <w:p w:rsidR="00FD2DCB" w:rsidRPr="007A0979" w:rsidRDefault="00FD2DCB" w:rsidP="00FB276E">
      <w:pPr>
        <w:pStyle w:val="Default"/>
        <w:numPr>
          <w:ilvl w:val="0"/>
          <w:numId w:val="11"/>
        </w:numPr>
        <w:ind w:left="142" w:hanging="142"/>
        <w:rPr>
          <w:rFonts w:ascii="Calibri" w:hAnsi="Calibri" w:cs="Calibri"/>
          <w:sz w:val="20"/>
          <w:szCs w:val="20"/>
        </w:rPr>
      </w:pPr>
      <w:r w:rsidRPr="007A0979">
        <w:rPr>
          <w:rFonts w:ascii="Calibri" w:hAnsi="Calibri" w:cs="Calibri"/>
          <w:sz w:val="20"/>
          <w:szCs w:val="20"/>
        </w:rPr>
        <w:t xml:space="preserve">The Health Information Privacy Code 2020 is available at </w:t>
      </w:r>
      <w:hyperlink r:id="rId9" w:history="1">
        <w:r w:rsidRPr="00FB276E">
          <w:rPr>
            <w:rStyle w:val="Hyperlink"/>
            <w:rFonts w:ascii="Calibri" w:hAnsi="Calibri" w:cs="Calibri"/>
            <w:color w:val="244061" w:themeColor="accent1" w:themeShade="80"/>
            <w:sz w:val="20"/>
            <w:szCs w:val="20"/>
          </w:rPr>
          <w:t>www.privacy.org.nz.</w:t>
        </w:r>
      </w:hyperlink>
      <w:r w:rsidRPr="00FB276E">
        <w:rPr>
          <w:rFonts w:ascii="Calibri" w:hAnsi="Calibri" w:cs="Calibri"/>
          <w:color w:val="244061" w:themeColor="accent1" w:themeShade="80"/>
          <w:sz w:val="20"/>
          <w:szCs w:val="20"/>
        </w:rPr>
        <w:t xml:space="preserve"> </w:t>
      </w:r>
    </w:p>
    <w:p w:rsidR="00FD2DCB" w:rsidRPr="007A0979" w:rsidRDefault="00FD2DCB" w:rsidP="00FB276E">
      <w:pPr>
        <w:pStyle w:val="Default"/>
        <w:numPr>
          <w:ilvl w:val="0"/>
          <w:numId w:val="11"/>
        </w:numPr>
        <w:ind w:left="142" w:hanging="142"/>
        <w:rPr>
          <w:rFonts w:ascii="Calibri" w:hAnsi="Calibri" w:cs="Calibri"/>
          <w:sz w:val="20"/>
          <w:szCs w:val="20"/>
        </w:rPr>
      </w:pPr>
      <w:r w:rsidRPr="007A0979">
        <w:rPr>
          <w:rFonts w:ascii="Calibri" w:hAnsi="Calibri" w:cs="Calibri"/>
          <w:sz w:val="20"/>
          <w:szCs w:val="20"/>
        </w:rPr>
        <w:t xml:space="preserve">You can also use the Privacy Commissioner’s Ask Us tool for privacy queries. </w:t>
      </w:r>
    </w:p>
    <w:p w:rsidR="00FD2DCB" w:rsidRPr="007A0979" w:rsidRDefault="00FD2DCB" w:rsidP="00FB276E">
      <w:pPr>
        <w:pStyle w:val="Default"/>
        <w:numPr>
          <w:ilvl w:val="0"/>
          <w:numId w:val="11"/>
        </w:numPr>
        <w:ind w:left="142" w:hanging="142"/>
        <w:rPr>
          <w:rFonts w:ascii="Calibri" w:hAnsi="Calibri" w:cs="Calibri"/>
          <w:sz w:val="20"/>
          <w:szCs w:val="20"/>
        </w:rPr>
      </w:pPr>
      <w:r w:rsidRPr="007A0979">
        <w:rPr>
          <w:rFonts w:ascii="Calibri" w:hAnsi="Calibri" w:cs="Calibri"/>
          <w:sz w:val="20"/>
          <w:szCs w:val="20"/>
        </w:rPr>
        <w:t xml:space="preserve">A copy of the Health and Disability Committee’s Standard Operating procedures can be found at </w:t>
      </w:r>
      <w:hyperlink r:id="rId10" w:history="1">
        <w:r w:rsidRPr="00FB276E">
          <w:rPr>
            <w:rStyle w:val="Hyperlink"/>
            <w:rFonts w:ascii="Calibri" w:hAnsi="Calibri" w:cs="Calibri"/>
            <w:color w:val="244061" w:themeColor="accent1" w:themeShade="80"/>
            <w:sz w:val="20"/>
            <w:szCs w:val="20"/>
          </w:rPr>
          <w:t>http://ethics.health.govt.nz/operating-procedures</w:t>
        </w:r>
      </w:hyperlink>
      <w:r w:rsidRPr="00FB276E">
        <w:rPr>
          <w:rFonts w:ascii="Calibri" w:hAnsi="Calibri" w:cs="Calibri"/>
          <w:color w:val="244061" w:themeColor="accent1" w:themeShade="80"/>
          <w:sz w:val="20"/>
          <w:szCs w:val="20"/>
        </w:rPr>
        <w:t xml:space="preserve"> </w:t>
      </w:r>
    </w:p>
    <w:p w:rsidR="00FD2DCB" w:rsidRPr="00FB276E" w:rsidRDefault="00FD2DCB" w:rsidP="00FB276E">
      <w:pPr>
        <w:pStyle w:val="ListParagraph"/>
        <w:numPr>
          <w:ilvl w:val="0"/>
          <w:numId w:val="11"/>
        </w:numPr>
        <w:autoSpaceDE w:val="0"/>
        <w:autoSpaceDN w:val="0"/>
        <w:adjustRightInd w:val="0"/>
        <w:spacing w:after="0" w:line="240" w:lineRule="auto"/>
        <w:ind w:left="142" w:hanging="142"/>
        <w:rPr>
          <w:rFonts w:cs="Arial"/>
          <w:sz w:val="20"/>
          <w:szCs w:val="20"/>
        </w:rPr>
      </w:pPr>
      <w:r w:rsidRPr="00FB276E">
        <w:rPr>
          <w:rFonts w:ascii="Calibri" w:hAnsi="Calibri" w:cs="Calibri"/>
          <w:sz w:val="20"/>
          <w:szCs w:val="20"/>
        </w:rPr>
        <w:t>Further detail in regard to the matters discussed in this Fact Sheet can be found on the Ministry of Health website at</w:t>
      </w:r>
      <w:r w:rsidRPr="00FB276E">
        <w:rPr>
          <w:rFonts w:asciiTheme="minorHAnsi" w:hAnsiTheme="minorHAnsi" w:cs="Calibri"/>
          <w:sz w:val="20"/>
          <w:szCs w:val="20"/>
        </w:rPr>
        <w:t xml:space="preserve"> </w:t>
      </w:r>
      <w:hyperlink r:id="rId11" w:history="1">
        <w:r w:rsidRPr="00FB276E">
          <w:rPr>
            <w:rStyle w:val="Hyperlink"/>
            <w:rFonts w:asciiTheme="minorHAnsi" w:hAnsiTheme="minorHAnsi" w:cs="Arial"/>
            <w:color w:val="244061" w:themeColor="accent1" w:themeShade="80"/>
            <w:sz w:val="20"/>
            <w:szCs w:val="20"/>
          </w:rPr>
          <w:t>https://www.health.govt.nz/our-work/digital-health/digital-health-sector-architecture-standards-and-governance/health-information-standards-0/standards-development/personal-health-information-standards</w:t>
        </w:r>
      </w:hyperlink>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cs="Arial"/>
          <w:sz w:val="20"/>
          <w:szCs w:val="20"/>
        </w:rPr>
      </w:pPr>
    </w:p>
    <w:p w:rsidR="007A0979" w:rsidRDefault="007A0979"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B276E" w:rsidRPr="007A0979" w:rsidRDefault="00FB276E" w:rsidP="00FD2DCB">
      <w:pPr>
        <w:autoSpaceDE w:val="0"/>
        <w:autoSpaceDN w:val="0"/>
        <w:adjustRightInd w:val="0"/>
        <w:spacing w:after="0" w:line="240" w:lineRule="auto"/>
        <w:jc w:val="center"/>
        <w:rPr>
          <w:rFonts w:ascii="Calibri" w:hAnsi="Calibri" w:cs="Calibri"/>
          <w:b/>
          <w:color w:val="244061" w:themeColor="accent1" w:themeShade="80"/>
          <w:sz w:val="20"/>
          <w:szCs w:val="20"/>
        </w:rPr>
      </w:pPr>
    </w:p>
    <w:p w:rsidR="00FD2DCB" w:rsidRDefault="00FD2DCB" w:rsidP="003D6364">
      <w:pPr>
        <w:autoSpaceDE w:val="0"/>
        <w:autoSpaceDN w:val="0"/>
        <w:adjustRightInd w:val="0"/>
        <w:spacing w:after="0" w:line="240" w:lineRule="auto"/>
        <w:jc w:val="center"/>
        <w:rPr>
          <w:rFonts w:ascii="Calibri" w:hAnsi="Calibri" w:cs="Calibri"/>
          <w:b/>
          <w:color w:val="244061" w:themeColor="accent1" w:themeShade="80"/>
          <w:sz w:val="22"/>
        </w:rPr>
      </w:pPr>
    </w:p>
    <w:p w:rsidR="00FB276E" w:rsidRDefault="00FB276E" w:rsidP="003D6364">
      <w:pPr>
        <w:autoSpaceDE w:val="0"/>
        <w:autoSpaceDN w:val="0"/>
        <w:adjustRightInd w:val="0"/>
        <w:spacing w:after="0" w:line="240" w:lineRule="auto"/>
        <w:jc w:val="center"/>
        <w:rPr>
          <w:rFonts w:ascii="Calibri" w:hAnsi="Calibri" w:cs="Calibri"/>
          <w:b/>
          <w:color w:val="244061" w:themeColor="accent1" w:themeShade="80"/>
          <w:sz w:val="22"/>
        </w:rPr>
      </w:pPr>
    </w:p>
    <w:p w:rsidR="00FB276E" w:rsidRDefault="00FB276E" w:rsidP="003D6364">
      <w:pPr>
        <w:autoSpaceDE w:val="0"/>
        <w:autoSpaceDN w:val="0"/>
        <w:adjustRightInd w:val="0"/>
        <w:spacing w:after="0" w:line="240" w:lineRule="auto"/>
        <w:jc w:val="center"/>
        <w:rPr>
          <w:rFonts w:ascii="Calibri" w:hAnsi="Calibri" w:cs="Calibri"/>
          <w:b/>
          <w:color w:val="244061" w:themeColor="accent1" w:themeShade="80"/>
          <w:sz w:val="22"/>
        </w:rPr>
      </w:pPr>
    </w:p>
    <w:p w:rsidR="00FB276E" w:rsidRDefault="00FB276E" w:rsidP="00FB276E">
      <w:pPr>
        <w:autoSpaceDE w:val="0"/>
        <w:autoSpaceDN w:val="0"/>
        <w:adjustRightInd w:val="0"/>
        <w:spacing w:after="0" w:line="240" w:lineRule="auto"/>
        <w:jc w:val="both"/>
        <w:rPr>
          <w:rFonts w:ascii="Calibri" w:hAnsi="Calibri" w:cs="Calibri"/>
          <w:b/>
          <w:color w:val="244061" w:themeColor="accent1" w:themeShade="80"/>
          <w:sz w:val="22"/>
        </w:rPr>
      </w:pPr>
    </w:p>
    <w:p w:rsidR="00FB276E" w:rsidRPr="008866A5" w:rsidRDefault="00FB276E" w:rsidP="003D6364">
      <w:pPr>
        <w:autoSpaceDE w:val="0"/>
        <w:autoSpaceDN w:val="0"/>
        <w:adjustRightInd w:val="0"/>
        <w:spacing w:after="0" w:line="240" w:lineRule="auto"/>
        <w:jc w:val="center"/>
        <w:rPr>
          <w:rFonts w:ascii="Calibri" w:hAnsi="Calibri" w:cs="Calibri"/>
          <w:b/>
          <w:color w:val="244061" w:themeColor="accent1" w:themeShade="80"/>
          <w:sz w:val="22"/>
        </w:rPr>
      </w:pPr>
    </w:p>
    <w:p w:rsidR="00FD2DCB" w:rsidRDefault="00FB276E" w:rsidP="00FB276E">
      <w:pPr>
        <w:autoSpaceDE w:val="0"/>
        <w:autoSpaceDN w:val="0"/>
        <w:adjustRightInd w:val="0"/>
        <w:spacing w:after="0" w:line="240" w:lineRule="auto"/>
        <w:rPr>
          <w:rFonts w:ascii="Calibri" w:hAnsi="Calibri" w:cs="Calibri"/>
          <w:b/>
          <w:color w:val="244061" w:themeColor="accent1" w:themeShade="80"/>
          <w:sz w:val="28"/>
          <w:szCs w:val="28"/>
        </w:rPr>
      </w:pPr>
      <w:r w:rsidRPr="002276C4">
        <w:rPr>
          <w:rFonts w:ascii="Calibri" w:hAnsi="Calibri" w:cs="Calibri"/>
          <w:noProof/>
          <w:szCs w:val="24"/>
          <w:lang w:eastAsia="en-NZ"/>
        </w:rPr>
        <w:lastRenderedPageBreak/>
        <w:drawing>
          <wp:anchor distT="0" distB="0" distL="114300" distR="114300" simplePos="0" relativeHeight="251666432" behindDoc="1" locked="0" layoutInCell="1" allowOverlap="1">
            <wp:simplePos x="0" y="0"/>
            <wp:positionH relativeFrom="column">
              <wp:posOffset>4058920</wp:posOffset>
            </wp:positionH>
            <wp:positionV relativeFrom="paragraph">
              <wp:posOffset>93659</wp:posOffset>
            </wp:positionV>
            <wp:extent cx="1205230" cy="5200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5230" cy="5200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NZ"/>
        </w:rPr>
        <w:drawing>
          <wp:inline distT="0" distB="0" distL="0" distR="0" wp14:anchorId="0822287A" wp14:editId="21778A78">
            <wp:extent cx="1446836" cy="663192"/>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MC Logo.jpg"/>
                    <pic:cNvPicPr/>
                  </pic:nvPicPr>
                  <pic:blipFill rotWithShape="1">
                    <a:blip r:embed="rId13" cstate="print">
                      <a:extLst>
                        <a:ext uri="{28A0092B-C50C-407E-A947-70E740481C1C}">
                          <a14:useLocalDpi xmlns:a14="http://schemas.microsoft.com/office/drawing/2010/main" val="0"/>
                        </a:ext>
                      </a:extLst>
                    </a:blip>
                    <a:srcRect t="27006" b="27202"/>
                    <a:stretch/>
                  </pic:blipFill>
                  <pic:spPr bwMode="auto">
                    <a:xfrm>
                      <a:off x="0" y="0"/>
                      <a:ext cx="1482497" cy="679538"/>
                    </a:xfrm>
                    <a:prstGeom prst="rect">
                      <a:avLst/>
                    </a:prstGeom>
                    <a:ln>
                      <a:noFill/>
                    </a:ln>
                    <a:extLst>
                      <a:ext uri="{53640926-AAD7-44D8-BBD7-CCE9431645EC}">
                        <a14:shadowObscured xmlns:a14="http://schemas.microsoft.com/office/drawing/2010/main"/>
                      </a:ext>
                    </a:extLst>
                  </pic:spPr>
                </pic:pic>
              </a:graphicData>
            </a:graphic>
          </wp:inline>
        </w:drawing>
      </w:r>
    </w:p>
    <w:p w:rsidR="00DF604A" w:rsidRDefault="00DF604A" w:rsidP="003D6364">
      <w:pPr>
        <w:autoSpaceDE w:val="0"/>
        <w:autoSpaceDN w:val="0"/>
        <w:adjustRightInd w:val="0"/>
        <w:spacing w:after="0" w:line="240" w:lineRule="auto"/>
        <w:jc w:val="center"/>
        <w:rPr>
          <w:rFonts w:ascii="Calibri" w:hAnsi="Calibri" w:cs="Calibri"/>
          <w:b/>
          <w:color w:val="244061" w:themeColor="accent1" w:themeShade="80"/>
          <w:sz w:val="28"/>
          <w:szCs w:val="28"/>
        </w:rPr>
      </w:pPr>
    </w:p>
    <w:p w:rsidR="008F3798" w:rsidRPr="00DF604A" w:rsidRDefault="008F3798" w:rsidP="008F3798">
      <w:pPr>
        <w:autoSpaceDE w:val="0"/>
        <w:autoSpaceDN w:val="0"/>
        <w:adjustRightInd w:val="0"/>
        <w:spacing w:after="0" w:line="240" w:lineRule="auto"/>
        <w:jc w:val="center"/>
        <w:rPr>
          <w:rFonts w:ascii="Calibri" w:hAnsi="Calibri" w:cs="Calibri"/>
          <w:b/>
          <w:color w:val="244061" w:themeColor="accent1" w:themeShade="80"/>
          <w:sz w:val="22"/>
        </w:rPr>
      </w:pPr>
      <w:r w:rsidRPr="00DF604A">
        <w:rPr>
          <w:rFonts w:asciiTheme="minorHAnsi" w:hAnsiTheme="minorHAnsi"/>
          <w:b/>
          <w:noProof/>
          <w:sz w:val="22"/>
          <w:lang w:eastAsia="en-NZ"/>
        </w:rPr>
        <w:drawing>
          <wp:anchor distT="0" distB="0" distL="114300" distR="114300" simplePos="0" relativeHeight="251659264" behindDoc="0" locked="0" layoutInCell="1" allowOverlap="1" wp14:anchorId="34248AA6" wp14:editId="78E7E282">
            <wp:simplePos x="0" y="0"/>
            <wp:positionH relativeFrom="column">
              <wp:posOffset>7037070</wp:posOffset>
            </wp:positionH>
            <wp:positionV relativeFrom="paragraph">
              <wp:posOffset>-572770</wp:posOffset>
            </wp:positionV>
            <wp:extent cx="2667000" cy="11525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OPPHO Logo High resolu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7000" cy="1152525"/>
                    </a:xfrm>
                    <a:prstGeom prst="rect">
                      <a:avLst/>
                    </a:prstGeom>
                  </pic:spPr>
                </pic:pic>
              </a:graphicData>
            </a:graphic>
            <wp14:sizeRelH relativeFrom="page">
              <wp14:pctWidth>0</wp14:pctWidth>
            </wp14:sizeRelH>
            <wp14:sizeRelV relativeFrom="page">
              <wp14:pctHeight>0</wp14:pctHeight>
            </wp14:sizeRelV>
          </wp:anchor>
        </w:drawing>
      </w:r>
      <w:r w:rsidRPr="00DF604A">
        <w:rPr>
          <w:rFonts w:asciiTheme="minorHAnsi" w:hAnsiTheme="minorHAnsi"/>
          <w:b/>
          <w:noProof/>
          <w:sz w:val="22"/>
          <w:lang w:eastAsia="en-NZ"/>
        </w:rPr>
        <w:drawing>
          <wp:anchor distT="0" distB="0" distL="114300" distR="114300" simplePos="0" relativeHeight="251663360" behindDoc="0" locked="0" layoutInCell="1" allowOverlap="1" wp14:anchorId="72E99E1E" wp14:editId="0763DFB6">
            <wp:simplePos x="0" y="0"/>
            <wp:positionH relativeFrom="column">
              <wp:posOffset>7341870</wp:posOffset>
            </wp:positionH>
            <wp:positionV relativeFrom="paragraph">
              <wp:posOffset>-454025</wp:posOffset>
            </wp:positionV>
            <wp:extent cx="2667000" cy="1152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OPPHO Logo High resolu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7000" cy="1152525"/>
                    </a:xfrm>
                    <a:prstGeom prst="rect">
                      <a:avLst/>
                    </a:prstGeom>
                  </pic:spPr>
                </pic:pic>
              </a:graphicData>
            </a:graphic>
            <wp14:sizeRelH relativeFrom="page">
              <wp14:pctWidth>0</wp14:pctWidth>
            </wp14:sizeRelH>
            <wp14:sizeRelV relativeFrom="page">
              <wp14:pctHeight>0</wp14:pctHeight>
            </wp14:sizeRelV>
          </wp:anchor>
        </w:drawing>
      </w:r>
      <w:r w:rsidRPr="00DF604A">
        <w:rPr>
          <w:rFonts w:ascii="Calibri" w:hAnsi="Calibri"/>
          <w:b/>
          <w:noProof/>
          <w:sz w:val="22"/>
          <w:lang w:eastAsia="en-NZ"/>
        </w:rPr>
        <w:drawing>
          <wp:anchor distT="0" distB="0" distL="114300" distR="114300" simplePos="0" relativeHeight="251665408" behindDoc="0" locked="0" layoutInCell="1" allowOverlap="1" wp14:anchorId="1D89F182" wp14:editId="5002B808">
            <wp:simplePos x="0" y="0"/>
            <wp:positionH relativeFrom="column">
              <wp:posOffset>7494270</wp:posOffset>
            </wp:positionH>
            <wp:positionV relativeFrom="paragraph">
              <wp:posOffset>-487680</wp:posOffset>
            </wp:positionV>
            <wp:extent cx="2667000" cy="11525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OPPHO Logo High resolu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7000" cy="1152525"/>
                    </a:xfrm>
                    <a:prstGeom prst="rect">
                      <a:avLst/>
                    </a:prstGeom>
                  </pic:spPr>
                </pic:pic>
              </a:graphicData>
            </a:graphic>
            <wp14:sizeRelH relativeFrom="page">
              <wp14:pctWidth>0</wp14:pctWidth>
            </wp14:sizeRelH>
            <wp14:sizeRelV relativeFrom="page">
              <wp14:pctHeight>0</wp14:pctHeight>
            </wp14:sizeRelV>
          </wp:anchor>
        </w:drawing>
      </w:r>
      <w:r w:rsidRPr="00DF604A">
        <w:rPr>
          <w:rFonts w:asciiTheme="minorHAnsi" w:hAnsiTheme="minorHAnsi"/>
          <w:b/>
          <w:noProof/>
          <w:sz w:val="22"/>
          <w:lang w:eastAsia="en-NZ"/>
        </w:rPr>
        <w:drawing>
          <wp:anchor distT="0" distB="0" distL="114300" distR="114300" simplePos="0" relativeHeight="251661312" behindDoc="0" locked="0" layoutInCell="1" allowOverlap="1" wp14:anchorId="135AE067" wp14:editId="205F8C90">
            <wp:simplePos x="0" y="0"/>
            <wp:positionH relativeFrom="column">
              <wp:posOffset>7189470</wp:posOffset>
            </wp:positionH>
            <wp:positionV relativeFrom="paragraph">
              <wp:posOffset>-792480</wp:posOffset>
            </wp:positionV>
            <wp:extent cx="2667000" cy="1152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OPPHO Logo High resolu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7000" cy="1152525"/>
                    </a:xfrm>
                    <a:prstGeom prst="rect">
                      <a:avLst/>
                    </a:prstGeom>
                  </pic:spPr>
                </pic:pic>
              </a:graphicData>
            </a:graphic>
            <wp14:sizeRelH relativeFrom="page">
              <wp14:pctWidth>0</wp14:pctWidth>
            </wp14:sizeRelH>
            <wp14:sizeRelV relativeFrom="page">
              <wp14:pctHeight>0</wp14:pctHeight>
            </wp14:sizeRelV>
          </wp:anchor>
        </w:drawing>
      </w:r>
      <w:r w:rsidRPr="00DF604A">
        <w:rPr>
          <w:rFonts w:ascii="Calibri" w:hAnsi="Calibri" w:cs="Calibri"/>
          <w:b/>
          <w:color w:val="244061" w:themeColor="accent1" w:themeShade="80"/>
          <w:sz w:val="22"/>
        </w:rPr>
        <w:t>Welcome to the Western Bay of Plenty Primary Health Organisation</w:t>
      </w:r>
      <w:r w:rsidR="00DE74DB" w:rsidRPr="00DF604A">
        <w:rPr>
          <w:rFonts w:ascii="Calibri" w:hAnsi="Calibri" w:cs="Calibri"/>
          <w:b/>
          <w:color w:val="244061" w:themeColor="accent1" w:themeShade="80"/>
          <w:sz w:val="22"/>
        </w:rPr>
        <w:t xml:space="preserve"> (WBOP PHO)</w:t>
      </w:r>
    </w:p>
    <w:p w:rsidR="008F3798" w:rsidRPr="00DF604A" w:rsidRDefault="008F3798" w:rsidP="008F3798">
      <w:pPr>
        <w:autoSpaceDE w:val="0"/>
        <w:autoSpaceDN w:val="0"/>
        <w:adjustRightInd w:val="0"/>
        <w:spacing w:after="0" w:line="240" w:lineRule="auto"/>
        <w:jc w:val="center"/>
        <w:rPr>
          <w:rFonts w:ascii="Calibri" w:hAnsi="Calibri" w:cs="Calibri"/>
          <w:b/>
          <w:color w:val="244061" w:themeColor="accent1" w:themeShade="80"/>
          <w:sz w:val="22"/>
        </w:rPr>
      </w:pPr>
      <w:r w:rsidRPr="00DF604A">
        <w:rPr>
          <w:rFonts w:ascii="Calibri" w:hAnsi="Calibri" w:cs="Calibri"/>
          <w:b/>
          <w:color w:val="244061" w:themeColor="accent1" w:themeShade="80"/>
          <w:sz w:val="22"/>
        </w:rPr>
        <w:t xml:space="preserve">and </w:t>
      </w:r>
      <w:r w:rsidR="00855825" w:rsidRPr="00DF604A">
        <w:rPr>
          <w:rFonts w:ascii="Calibri" w:hAnsi="Calibri" w:cs="Calibri"/>
          <w:b/>
          <w:color w:val="244061" w:themeColor="accent1" w:themeShade="80"/>
          <w:sz w:val="22"/>
        </w:rPr>
        <w:t>your G</w:t>
      </w:r>
      <w:r w:rsidRPr="00DF604A">
        <w:rPr>
          <w:rFonts w:ascii="Calibri" w:hAnsi="Calibri" w:cs="Calibri"/>
          <w:b/>
          <w:color w:val="244061" w:themeColor="accent1" w:themeShade="80"/>
          <w:sz w:val="22"/>
        </w:rPr>
        <w:t xml:space="preserve">eneral </w:t>
      </w:r>
      <w:r w:rsidR="00855825" w:rsidRPr="00DF604A">
        <w:rPr>
          <w:rFonts w:ascii="Calibri" w:hAnsi="Calibri" w:cs="Calibri"/>
          <w:b/>
          <w:color w:val="244061" w:themeColor="accent1" w:themeShade="80"/>
          <w:sz w:val="22"/>
        </w:rPr>
        <w:t>P</w:t>
      </w:r>
      <w:r w:rsidRPr="00DF604A">
        <w:rPr>
          <w:rFonts w:ascii="Calibri" w:hAnsi="Calibri" w:cs="Calibri"/>
          <w:b/>
          <w:color w:val="244061" w:themeColor="accent1" w:themeShade="80"/>
          <w:sz w:val="22"/>
        </w:rPr>
        <w:t>ractice:</w:t>
      </w:r>
      <w:r w:rsidR="008866A5">
        <w:rPr>
          <w:rFonts w:ascii="Calibri" w:hAnsi="Calibri" w:cs="Calibri"/>
          <w:b/>
          <w:color w:val="244061" w:themeColor="accent1" w:themeShade="80"/>
          <w:sz w:val="22"/>
        </w:rPr>
        <w:t xml:space="preserve"> Te Puke Medical Centre</w:t>
      </w:r>
    </w:p>
    <w:p w:rsidR="005B7C3B" w:rsidRDefault="005B7C3B" w:rsidP="005B7C3B">
      <w:pPr>
        <w:autoSpaceDE w:val="0"/>
        <w:autoSpaceDN w:val="0"/>
        <w:adjustRightInd w:val="0"/>
        <w:spacing w:after="0" w:line="240" w:lineRule="auto"/>
        <w:rPr>
          <w:rFonts w:ascii="Calibri" w:hAnsi="Calibri" w:cs="Calibri"/>
          <w:b/>
          <w:color w:val="244061" w:themeColor="accent1" w:themeShade="80"/>
          <w:sz w:val="32"/>
          <w:szCs w:val="32"/>
        </w:rPr>
      </w:pPr>
    </w:p>
    <w:p w:rsidR="008F3798" w:rsidRPr="007A0979" w:rsidRDefault="007A0979" w:rsidP="007A0979">
      <w:r>
        <w:rPr>
          <w:rFonts w:asciiTheme="minorHAnsi" w:hAnsiTheme="minorHAnsi"/>
          <w:b/>
          <w:color w:val="244061" w:themeColor="accent1" w:themeShade="80"/>
          <w:sz w:val="28"/>
          <w:szCs w:val="28"/>
        </w:rPr>
        <w:t>Enrolling with a Medical Practice</w:t>
      </w:r>
      <w:r>
        <w:rPr>
          <w:rStyle w:val="Hyperlink"/>
          <w:color w:val="auto"/>
          <w:u w:val="none"/>
        </w:rPr>
        <w:br/>
      </w:r>
      <w:r w:rsidR="008F3798" w:rsidRPr="003D6364">
        <w:rPr>
          <w:rFonts w:asciiTheme="minorHAnsi" w:hAnsiTheme="minorHAnsi" w:cstheme="minorHAnsi"/>
          <w:sz w:val="20"/>
          <w:szCs w:val="20"/>
        </w:rPr>
        <w:t>General Practice provides comprehensive primary, community-based and continuing patient-centred healthcare to patients enrolled with them and others who consult. General Practice services include the diagnosis, management and treatment of health conditions, continuity of healthcare throughout the lifespan, health promotion, prevention, screening and referral to hospital and specialists.</w:t>
      </w:r>
    </w:p>
    <w:p w:rsidR="008F3798" w:rsidRDefault="008F3798" w:rsidP="008F3798">
      <w:pPr>
        <w:jc w:val="both"/>
        <w:rPr>
          <w:rFonts w:asciiTheme="minorHAnsi" w:hAnsiTheme="minorHAnsi" w:cstheme="minorHAnsi"/>
          <w:sz w:val="22"/>
        </w:rPr>
      </w:pPr>
      <w:r w:rsidRPr="003D6364">
        <w:rPr>
          <w:rFonts w:asciiTheme="minorHAnsi" w:hAnsiTheme="minorHAnsi" w:cstheme="minorHAnsi"/>
          <w:sz w:val="20"/>
          <w:szCs w:val="20"/>
        </w:rPr>
        <w:t>Your general practice is affiliated to a Western Bay of Plenty PHO. The fund-holding role of the PHO allows an extended range of services to be provided across the collective providers within a PHO</w:t>
      </w:r>
      <w:r w:rsidRPr="00907F08">
        <w:rPr>
          <w:rFonts w:asciiTheme="minorHAnsi" w:hAnsiTheme="minorHAnsi" w:cstheme="minorHAnsi"/>
          <w:sz w:val="22"/>
        </w:rPr>
        <w:t>.</w:t>
      </w:r>
      <w:bookmarkStart w:id="0" w:name="_GoBack"/>
      <w:bookmarkEnd w:id="0"/>
    </w:p>
    <w:p w:rsidR="008F3798" w:rsidRPr="007A0979" w:rsidRDefault="007A0979" w:rsidP="007A0979">
      <w:r>
        <w:rPr>
          <w:rFonts w:asciiTheme="minorHAnsi" w:hAnsiTheme="minorHAnsi"/>
          <w:b/>
          <w:color w:val="244061" w:themeColor="accent1" w:themeShade="80"/>
          <w:sz w:val="28"/>
          <w:szCs w:val="28"/>
        </w:rPr>
        <w:t>What is Primary Health?</w:t>
      </w:r>
      <w:r>
        <w:br/>
      </w:r>
      <w:r w:rsidR="008F3798" w:rsidRPr="003D6364">
        <w:rPr>
          <w:rFonts w:asciiTheme="minorHAnsi" w:hAnsiTheme="minorHAnsi" w:cstheme="minorHAnsi"/>
          <w:sz w:val="20"/>
          <w:szCs w:val="20"/>
        </w:rPr>
        <w:t xml:space="preserve">Primary health relates to healthcare normally received in the community, often from your general practice. Primary health care may also be </w:t>
      </w:r>
      <w:hyperlink r:id="rId15" w:history="1">
        <w:r w:rsidR="008F3798" w:rsidRPr="007A0979">
          <w:rPr>
            <w:rStyle w:val="Hyperlink"/>
            <w:rFonts w:asciiTheme="minorHAnsi" w:hAnsiTheme="minorHAnsi" w:cstheme="minorHAnsi"/>
            <w:color w:val="auto"/>
            <w:sz w:val="20"/>
            <w:szCs w:val="20"/>
            <w:u w:val="none"/>
          </w:rPr>
          <w:t>services</w:t>
        </w:r>
      </w:hyperlink>
      <w:r w:rsidR="008F3798" w:rsidRPr="007A0979">
        <w:rPr>
          <w:rFonts w:asciiTheme="minorHAnsi" w:hAnsiTheme="minorHAnsi" w:cstheme="minorHAnsi"/>
          <w:sz w:val="20"/>
          <w:szCs w:val="20"/>
        </w:rPr>
        <w:t xml:space="preserve"> </w:t>
      </w:r>
      <w:r w:rsidR="008F3798" w:rsidRPr="003D6364">
        <w:rPr>
          <w:rFonts w:asciiTheme="minorHAnsi" w:hAnsiTheme="minorHAnsi" w:cstheme="minorHAnsi"/>
          <w:sz w:val="20"/>
          <w:szCs w:val="20"/>
        </w:rPr>
        <w:t>provided in Hauora, schools, nurse clinics and elsewhere</w:t>
      </w:r>
      <w:r w:rsidR="008F3798" w:rsidRPr="00023B2A">
        <w:rPr>
          <w:rFonts w:asciiTheme="minorHAnsi" w:hAnsiTheme="minorHAnsi" w:cstheme="minorHAnsi"/>
        </w:rPr>
        <w:t>.</w:t>
      </w:r>
    </w:p>
    <w:p w:rsidR="008F3798" w:rsidRPr="007A0979" w:rsidRDefault="007A0979" w:rsidP="007A0979">
      <w:r>
        <w:rPr>
          <w:rFonts w:asciiTheme="minorHAnsi" w:hAnsiTheme="minorHAnsi"/>
          <w:b/>
          <w:color w:val="244061" w:themeColor="accent1" w:themeShade="80"/>
          <w:sz w:val="28"/>
          <w:szCs w:val="28"/>
        </w:rPr>
        <w:t>Enrolling with a Primary Health Organisation (PHO)</w:t>
      </w:r>
      <w:r>
        <w:br/>
      </w:r>
      <w:r w:rsidR="008F3798" w:rsidRPr="003D6364">
        <w:rPr>
          <w:rFonts w:asciiTheme="minorHAnsi" w:hAnsiTheme="minorHAnsi" w:cstheme="minorHAnsi"/>
          <w:b/>
          <w:sz w:val="20"/>
          <w:szCs w:val="20"/>
        </w:rPr>
        <w:t>What is a PHO?</w:t>
      </w:r>
      <w:r w:rsidR="008F3798" w:rsidRPr="003D6364">
        <w:rPr>
          <w:rFonts w:asciiTheme="minorHAnsi" w:hAnsiTheme="minorHAnsi" w:cstheme="minorHAnsi"/>
          <w:sz w:val="20"/>
          <w:szCs w:val="20"/>
        </w:rPr>
        <w:t xml:space="preserve"> Primary Health Organisations are the local structures for delivering and co-ordinating primary healthcare services. PHOs bring together Doctors, Nurses and other health professionals (such as Māori health workers, health promoters, dieticians, pharmacists, physiotherapists, mental health workers and midwives) in the community to serve the needs of their enrolled populations. </w:t>
      </w:r>
    </w:p>
    <w:p w:rsidR="008F3798" w:rsidRPr="003D6364" w:rsidRDefault="008F3798" w:rsidP="008F3798">
      <w:pPr>
        <w:jc w:val="both"/>
        <w:rPr>
          <w:rFonts w:asciiTheme="minorHAnsi" w:hAnsiTheme="minorHAnsi" w:cstheme="minorHAnsi"/>
          <w:sz w:val="20"/>
          <w:szCs w:val="20"/>
        </w:rPr>
      </w:pPr>
      <w:r w:rsidRPr="003D6364">
        <w:rPr>
          <w:rFonts w:asciiTheme="minorHAnsi" w:hAnsiTheme="minorHAnsi" w:cstheme="minorHAnsi"/>
          <w:sz w:val="20"/>
          <w:szCs w:val="20"/>
        </w:rPr>
        <w:t>PHO’s receive a set amount of funding from the government to ensure the provision of a range of health services, including visits to the Doctor. Funding is based on the people enrolled with the PHO and their characteristics e.g. age, gender and ethnicity. Funding also pays for services that help</w:t>
      </w:r>
      <w:r w:rsidRPr="00907F08">
        <w:rPr>
          <w:rFonts w:asciiTheme="minorHAnsi" w:hAnsiTheme="minorHAnsi" w:cstheme="minorHAnsi"/>
          <w:sz w:val="22"/>
        </w:rPr>
        <w:t xml:space="preserve"> </w:t>
      </w:r>
      <w:r w:rsidRPr="003D6364">
        <w:rPr>
          <w:rFonts w:asciiTheme="minorHAnsi" w:hAnsiTheme="minorHAnsi" w:cstheme="minorHAnsi"/>
          <w:sz w:val="20"/>
          <w:szCs w:val="20"/>
        </w:rPr>
        <w:t>people stay healthy</w:t>
      </w:r>
      <w:r w:rsidRPr="00907F08">
        <w:rPr>
          <w:rFonts w:asciiTheme="minorHAnsi" w:hAnsiTheme="minorHAnsi" w:cstheme="minorHAnsi"/>
          <w:sz w:val="22"/>
        </w:rPr>
        <w:t xml:space="preserve"> and </w:t>
      </w:r>
      <w:r w:rsidRPr="003D6364">
        <w:rPr>
          <w:rFonts w:asciiTheme="minorHAnsi" w:hAnsiTheme="minorHAnsi" w:cstheme="minorHAnsi"/>
          <w:sz w:val="20"/>
          <w:szCs w:val="20"/>
        </w:rPr>
        <w:t>services that reach out to groups in the community who are missing out on health services or who have poor health.</w:t>
      </w:r>
    </w:p>
    <w:p w:rsidR="008F3798" w:rsidRPr="003D6364" w:rsidRDefault="008F3798" w:rsidP="008F3798">
      <w:pPr>
        <w:jc w:val="both"/>
        <w:rPr>
          <w:rFonts w:asciiTheme="minorHAnsi" w:hAnsiTheme="minorHAnsi" w:cstheme="minorHAnsi"/>
          <w:sz w:val="20"/>
          <w:szCs w:val="20"/>
        </w:rPr>
      </w:pPr>
      <w:r w:rsidRPr="003D6364">
        <w:rPr>
          <w:rFonts w:asciiTheme="minorHAnsi" w:hAnsiTheme="minorHAnsi" w:cstheme="minorHAnsi"/>
          <w:b/>
          <w:sz w:val="20"/>
          <w:szCs w:val="20"/>
        </w:rPr>
        <w:t>Benefits of Enrolling</w:t>
      </w:r>
      <w:r w:rsidR="003D6364">
        <w:rPr>
          <w:rFonts w:asciiTheme="minorHAnsi" w:hAnsiTheme="minorHAnsi" w:cstheme="minorHAnsi"/>
          <w:b/>
          <w:sz w:val="20"/>
          <w:szCs w:val="20"/>
        </w:rPr>
        <w:t xml:space="preserve">: </w:t>
      </w:r>
      <w:r w:rsidRPr="003D6364">
        <w:rPr>
          <w:rFonts w:asciiTheme="minorHAnsi" w:hAnsiTheme="minorHAnsi" w:cstheme="minorHAnsi"/>
          <w:sz w:val="20"/>
          <w:szCs w:val="20"/>
        </w:rPr>
        <w:t xml:space="preserve"> Enrolling is free and voluntary. If you choose not to enrol you can still receive health services a chosen GP / General Practice / provider of First Level primary healthcare services. Advantages of enrolling are that you visits to the Doctor will be cheaper and you will have direct access to a range of services linked to the PHO. </w:t>
      </w:r>
    </w:p>
    <w:p w:rsidR="008F3798" w:rsidRDefault="008F3798" w:rsidP="008F3798">
      <w:pPr>
        <w:jc w:val="both"/>
        <w:rPr>
          <w:rFonts w:asciiTheme="minorHAnsi" w:hAnsiTheme="minorHAnsi" w:cstheme="minorHAnsi"/>
          <w:sz w:val="20"/>
          <w:szCs w:val="20"/>
        </w:rPr>
      </w:pPr>
      <w:r w:rsidRPr="003D6364">
        <w:rPr>
          <w:rFonts w:asciiTheme="minorHAnsi" w:hAnsiTheme="minorHAnsi" w:cstheme="minorHAnsi"/>
          <w:b/>
          <w:sz w:val="20"/>
          <w:szCs w:val="20"/>
        </w:rPr>
        <w:t>How do I enrol?</w:t>
      </w:r>
      <w:r w:rsidRPr="003D6364">
        <w:rPr>
          <w:rFonts w:asciiTheme="minorHAnsi" w:hAnsiTheme="minorHAnsi" w:cstheme="minorHAnsi"/>
          <w:sz w:val="20"/>
          <w:szCs w:val="20"/>
        </w:rPr>
        <w:t xml:space="preserve"> To enrol, you need to complete an Enrolment Form at the General Practice of your choice. Parents can enrol children under 16 years of age but children over 16 years need to sign their own form.</w:t>
      </w:r>
    </w:p>
    <w:p w:rsidR="008F3798" w:rsidRPr="007A0979" w:rsidRDefault="007A0979" w:rsidP="007A0979">
      <w:r>
        <w:rPr>
          <w:rFonts w:asciiTheme="minorHAnsi" w:hAnsiTheme="minorHAnsi"/>
          <w:b/>
          <w:color w:val="244061" w:themeColor="accent1" w:themeShade="80"/>
          <w:sz w:val="28"/>
          <w:szCs w:val="28"/>
        </w:rPr>
        <w:t>Questions &amp; Answers</w:t>
      </w:r>
      <w:r>
        <w:br/>
      </w:r>
      <w:r w:rsidR="008F3798" w:rsidRPr="009B2455">
        <w:rPr>
          <w:rFonts w:asciiTheme="minorHAnsi" w:hAnsiTheme="minorHAnsi" w:cstheme="minorHAnsi"/>
          <w:b/>
          <w:color w:val="244061" w:themeColor="accent1" w:themeShade="80"/>
          <w:sz w:val="20"/>
          <w:szCs w:val="20"/>
        </w:rPr>
        <w:t>What happens if I go to another General Practice?</w:t>
      </w:r>
      <w:r w:rsidR="008F3798" w:rsidRPr="009B2455">
        <w:rPr>
          <w:rFonts w:asciiTheme="minorHAnsi" w:hAnsiTheme="minorHAnsi" w:cstheme="minorHAnsi"/>
          <w:color w:val="244061" w:themeColor="accent1" w:themeShade="80"/>
          <w:sz w:val="20"/>
          <w:szCs w:val="20"/>
        </w:rPr>
        <w:t xml:space="preserve">  </w:t>
      </w:r>
      <w:r w:rsidR="008F3798" w:rsidRPr="003D6364">
        <w:rPr>
          <w:rFonts w:asciiTheme="minorHAnsi" w:hAnsiTheme="minorHAnsi" w:cstheme="minorHAnsi"/>
          <w:sz w:val="20"/>
          <w:szCs w:val="20"/>
        </w:rPr>
        <w:t xml:space="preserve">You can go to another General Practice or change to a new General Practice at any time. If you are enrolled in a PHO through one General Practice and visit another Practice as a casual patient you will pay a higher fee for that visit. So if you have more than one General Practice you should consider enrolling with the Practice you visit most often.                                                   </w:t>
      </w:r>
    </w:p>
    <w:p w:rsidR="008F3798" w:rsidRPr="003D6364" w:rsidRDefault="008F3798" w:rsidP="008F3798">
      <w:pPr>
        <w:spacing w:after="0"/>
        <w:jc w:val="both"/>
        <w:rPr>
          <w:rFonts w:asciiTheme="minorHAnsi" w:hAnsiTheme="minorHAnsi" w:cstheme="minorHAnsi"/>
          <w:sz w:val="20"/>
          <w:szCs w:val="20"/>
        </w:rPr>
      </w:pPr>
      <w:r w:rsidRPr="009B2455">
        <w:rPr>
          <w:rFonts w:asciiTheme="minorHAnsi" w:hAnsiTheme="minorHAnsi" w:cstheme="minorHAnsi"/>
          <w:b/>
          <w:color w:val="244061" w:themeColor="accent1" w:themeShade="80"/>
          <w:sz w:val="20"/>
          <w:szCs w:val="20"/>
        </w:rPr>
        <w:t xml:space="preserve">What happens if the General Practice changes to a new PHO? </w:t>
      </w:r>
      <w:r w:rsidRPr="009B2455">
        <w:rPr>
          <w:rFonts w:asciiTheme="minorHAnsi" w:hAnsiTheme="minorHAnsi" w:cstheme="minorHAnsi"/>
          <w:color w:val="244061" w:themeColor="accent1" w:themeShade="80"/>
          <w:sz w:val="20"/>
          <w:szCs w:val="20"/>
        </w:rPr>
        <w:t xml:space="preserve"> </w:t>
      </w:r>
      <w:r w:rsidRPr="003D6364">
        <w:rPr>
          <w:rFonts w:asciiTheme="minorHAnsi" w:hAnsiTheme="minorHAnsi" w:cstheme="minorHAnsi"/>
          <w:sz w:val="20"/>
          <w:szCs w:val="20"/>
        </w:rPr>
        <w:t>If the General Practice changes to a new PHO, the Practice will make this information available to you.</w:t>
      </w:r>
    </w:p>
    <w:p w:rsidR="008F3798" w:rsidRDefault="008F3798" w:rsidP="007A0979">
      <w:pPr>
        <w:spacing w:after="0"/>
        <w:jc w:val="both"/>
        <w:rPr>
          <w:rFonts w:asciiTheme="minorHAnsi" w:hAnsiTheme="minorHAnsi" w:cstheme="minorHAnsi"/>
          <w:sz w:val="20"/>
          <w:szCs w:val="20"/>
        </w:rPr>
      </w:pPr>
      <w:r w:rsidRPr="009B2455">
        <w:rPr>
          <w:rFonts w:asciiTheme="minorHAnsi" w:hAnsiTheme="minorHAnsi" w:cstheme="minorHAnsi"/>
          <w:b/>
          <w:color w:val="244061" w:themeColor="accent1" w:themeShade="80"/>
          <w:sz w:val="20"/>
          <w:szCs w:val="20"/>
        </w:rPr>
        <w:t xml:space="preserve">What happens if I am enrolled in a General Practice but don’t see them very often?  </w:t>
      </w:r>
      <w:r w:rsidRPr="003D6364">
        <w:rPr>
          <w:rFonts w:asciiTheme="minorHAnsi" w:hAnsiTheme="minorHAnsi" w:cstheme="minorHAnsi"/>
          <w:sz w:val="20"/>
          <w:szCs w:val="20"/>
        </w:rPr>
        <w:t xml:space="preserve">If you have not received services from your General Practice in a 3 year period it is likely that the Practice will contact you and ask if you </w:t>
      </w:r>
      <w:r w:rsidRPr="003D6364">
        <w:rPr>
          <w:rFonts w:asciiTheme="minorHAnsi" w:hAnsiTheme="minorHAnsi" w:cstheme="minorHAnsi"/>
          <w:sz w:val="20"/>
          <w:szCs w:val="20"/>
        </w:rPr>
        <w:lastRenderedPageBreak/>
        <w:t>wish to remain with the Practice. If you are not able to be contacted or do not respond, your name will be taken off the Practice and PHO Enrolment Registers. You can re-enrol with the same General Practice or another General Practice and the affiliated PHO at a later time.</w:t>
      </w:r>
    </w:p>
    <w:p w:rsidR="007A0979" w:rsidRDefault="007A0979" w:rsidP="007A0979">
      <w:pPr>
        <w:spacing w:after="0"/>
        <w:jc w:val="both"/>
        <w:rPr>
          <w:rFonts w:asciiTheme="minorHAnsi" w:hAnsiTheme="minorHAnsi" w:cstheme="minorHAnsi"/>
          <w:sz w:val="20"/>
          <w:szCs w:val="20"/>
        </w:rPr>
      </w:pPr>
    </w:p>
    <w:p w:rsidR="00FB276E" w:rsidRPr="007A0979" w:rsidRDefault="00FB276E" w:rsidP="007A0979">
      <w:pPr>
        <w:spacing w:after="0"/>
        <w:jc w:val="both"/>
        <w:rPr>
          <w:rFonts w:asciiTheme="minorHAnsi" w:hAnsiTheme="minorHAnsi" w:cstheme="minorHAnsi"/>
          <w:sz w:val="20"/>
          <w:szCs w:val="20"/>
        </w:rPr>
      </w:pPr>
    </w:p>
    <w:p w:rsidR="00836555" w:rsidRPr="007A0979" w:rsidRDefault="007A0979" w:rsidP="007A0979">
      <w:pPr>
        <w:rPr>
          <w:rStyle w:val="Hyperlink"/>
          <w:color w:val="auto"/>
          <w:u w:val="none"/>
        </w:rPr>
      </w:pPr>
      <w:r>
        <w:rPr>
          <w:rFonts w:asciiTheme="minorHAnsi" w:hAnsiTheme="minorHAnsi"/>
          <w:b/>
          <w:color w:val="244061" w:themeColor="accent1" w:themeShade="80"/>
          <w:sz w:val="28"/>
          <w:szCs w:val="28"/>
        </w:rPr>
        <w:t>Services</w:t>
      </w:r>
    </w:p>
    <w:p w:rsidR="005B7C3B" w:rsidRPr="008866A5" w:rsidRDefault="005B7C3B" w:rsidP="005B7C3B">
      <w:pPr>
        <w:pStyle w:val="Footer"/>
        <w:rPr>
          <w:rStyle w:val="Hyperlink"/>
          <w:rFonts w:asciiTheme="minorHAnsi" w:hAnsiTheme="minorHAnsi" w:cstheme="minorHAnsi"/>
          <w:color w:val="auto"/>
          <w:sz w:val="20"/>
          <w:szCs w:val="20"/>
          <w:u w:val="none"/>
        </w:rPr>
      </w:pPr>
      <w:r w:rsidRPr="008866A5">
        <w:rPr>
          <w:rStyle w:val="Hyperlink"/>
          <w:rFonts w:asciiTheme="minorHAnsi" w:hAnsiTheme="minorHAnsi" w:cstheme="minorHAnsi"/>
          <w:color w:val="auto"/>
          <w:sz w:val="20"/>
          <w:szCs w:val="20"/>
          <w:u w:val="none"/>
        </w:rPr>
        <w:t>You may be entitled to the following services. Please check with your doctor as conditions apply.</w:t>
      </w:r>
    </w:p>
    <w:p w:rsidR="00DE74DB" w:rsidRDefault="00DE74DB" w:rsidP="005B7C3B">
      <w:pPr>
        <w:pStyle w:val="Footer"/>
        <w:rPr>
          <w:rStyle w:val="Hyperlink"/>
          <w:rFonts w:asciiTheme="minorHAnsi" w:hAnsiTheme="minorHAnsi" w:cstheme="minorHAnsi"/>
          <w:b/>
        </w:rPr>
      </w:pPr>
    </w:p>
    <w:p w:rsidR="00DE74DB" w:rsidRPr="009B2455" w:rsidRDefault="00DE74DB" w:rsidP="009B2455">
      <w:pPr>
        <w:pStyle w:val="ListParagraph"/>
        <w:numPr>
          <w:ilvl w:val="0"/>
          <w:numId w:val="5"/>
        </w:numPr>
        <w:spacing w:line="240" w:lineRule="auto"/>
        <w:rPr>
          <w:rFonts w:asciiTheme="minorHAnsi" w:hAnsiTheme="minorHAnsi" w:cstheme="minorHAnsi"/>
          <w:sz w:val="20"/>
          <w:szCs w:val="20"/>
        </w:rPr>
      </w:pPr>
      <w:r w:rsidRPr="008866A5">
        <w:rPr>
          <w:rFonts w:asciiTheme="minorHAnsi" w:hAnsiTheme="minorHAnsi" w:cstheme="minorHAnsi"/>
          <w:sz w:val="20"/>
          <w:szCs w:val="20"/>
        </w:rPr>
        <w:t>CarePlus –up to four GP or nurse consultations for people with long term health conditions</w:t>
      </w:r>
    </w:p>
    <w:p w:rsidR="00DE74DB" w:rsidRPr="009B2455" w:rsidRDefault="00DE74DB" w:rsidP="009B2455">
      <w:pPr>
        <w:pStyle w:val="ListParagraph"/>
        <w:numPr>
          <w:ilvl w:val="0"/>
          <w:numId w:val="5"/>
        </w:numPr>
        <w:spacing w:line="240" w:lineRule="auto"/>
        <w:rPr>
          <w:rFonts w:asciiTheme="minorHAnsi" w:hAnsiTheme="minorHAnsi" w:cstheme="minorHAnsi"/>
          <w:sz w:val="20"/>
          <w:szCs w:val="20"/>
        </w:rPr>
      </w:pPr>
      <w:r w:rsidRPr="008866A5">
        <w:rPr>
          <w:rFonts w:asciiTheme="minorHAnsi" w:hAnsiTheme="minorHAnsi" w:cstheme="minorHAnsi"/>
          <w:sz w:val="20"/>
          <w:szCs w:val="20"/>
        </w:rPr>
        <w:t>Cervical Smear tests for women</w:t>
      </w:r>
    </w:p>
    <w:p w:rsidR="00DE74DB" w:rsidRPr="009B2455" w:rsidRDefault="00DE74DB" w:rsidP="009B2455">
      <w:pPr>
        <w:pStyle w:val="ListParagraph"/>
        <w:numPr>
          <w:ilvl w:val="0"/>
          <w:numId w:val="5"/>
        </w:numPr>
        <w:spacing w:line="240" w:lineRule="auto"/>
        <w:rPr>
          <w:rFonts w:asciiTheme="minorHAnsi" w:hAnsiTheme="minorHAnsi" w:cstheme="minorHAnsi"/>
          <w:sz w:val="20"/>
          <w:szCs w:val="20"/>
        </w:rPr>
      </w:pPr>
      <w:r w:rsidRPr="008866A5">
        <w:rPr>
          <w:rFonts w:asciiTheme="minorHAnsi" w:hAnsiTheme="minorHAnsi" w:cstheme="minorHAnsi"/>
          <w:sz w:val="20"/>
          <w:szCs w:val="20"/>
        </w:rPr>
        <w:t>Chronic Obstructive Pulmonary Disease management programme</w:t>
      </w:r>
    </w:p>
    <w:p w:rsidR="00DE74DB" w:rsidRPr="009B2455" w:rsidRDefault="00DE74DB" w:rsidP="008866A5">
      <w:pPr>
        <w:pStyle w:val="ListParagraph"/>
        <w:numPr>
          <w:ilvl w:val="0"/>
          <w:numId w:val="5"/>
        </w:numPr>
        <w:spacing w:line="240" w:lineRule="auto"/>
        <w:rPr>
          <w:rFonts w:asciiTheme="minorHAnsi" w:hAnsiTheme="minorHAnsi" w:cstheme="minorHAnsi"/>
          <w:sz w:val="20"/>
          <w:szCs w:val="20"/>
        </w:rPr>
      </w:pPr>
      <w:r w:rsidRPr="008866A5">
        <w:rPr>
          <w:rFonts w:asciiTheme="minorHAnsi" w:hAnsiTheme="minorHAnsi" w:cstheme="minorHAnsi"/>
          <w:sz w:val="20"/>
          <w:szCs w:val="20"/>
        </w:rPr>
        <w:t>A range of services for Diabetics including; condition management, education, retinal screening, podiatry services</w:t>
      </w:r>
    </w:p>
    <w:p w:rsidR="00DE74DB" w:rsidRPr="009B2455" w:rsidRDefault="00DE74DB" w:rsidP="008866A5">
      <w:pPr>
        <w:pStyle w:val="ListParagraph"/>
        <w:numPr>
          <w:ilvl w:val="0"/>
          <w:numId w:val="5"/>
        </w:numPr>
        <w:spacing w:line="240" w:lineRule="auto"/>
        <w:rPr>
          <w:rFonts w:asciiTheme="minorHAnsi" w:hAnsiTheme="minorHAnsi" w:cstheme="minorHAnsi"/>
          <w:sz w:val="20"/>
          <w:szCs w:val="20"/>
        </w:rPr>
      </w:pPr>
      <w:r w:rsidRPr="008866A5">
        <w:rPr>
          <w:rFonts w:asciiTheme="minorHAnsi" w:hAnsiTheme="minorHAnsi" w:cstheme="minorHAnsi"/>
          <w:sz w:val="20"/>
          <w:szCs w:val="20"/>
        </w:rPr>
        <w:t>Smoking Cessation consultations and  support services to quit</w:t>
      </w:r>
    </w:p>
    <w:p w:rsidR="00DE74DB" w:rsidRPr="009B2455" w:rsidRDefault="00DE74DB" w:rsidP="008866A5">
      <w:pPr>
        <w:pStyle w:val="ListParagraph"/>
        <w:numPr>
          <w:ilvl w:val="0"/>
          <w:numId w:val="5"/>
        </w:numPr>
        <w:spacing w:line="240" w:lineRule="auto"/>
        <w:rPr>
          <w:rFonts w:asciiTheme="minorHAnsi" w:hAnsiTheme="minorHAnsi" w:cstheme="minorHAnsi"/>
          <w:sz w:val="20"/>
          <w:szCs w:val="20"/>
        </w:rPr>
      </w:pPr>
      <w:r w:rsidRPr="008866A5">
        <w:rPr>
          <w:rFonts w:asciiTheme="minorHAnsi" w:hAnsiTheme="minorHAnsi" w:cstheme="minorHAnsi"/>
          <w:sz w:val="20"/>
          <w:szCs w:val="20"/>
        </w:rPr>
        <w:t>Minor Surgery for removal of skin lesions</w:t>
      </w:r>
    </w:p>
    <w:p w:rsidR="00DE74DB" w:rsidRPr="009B2455" w:rsidRDefault="00DE74DB" w:rsidP="008866A5">
      <w:pPr>
        <w:pStyle w:val="ListParagraph"/>
        <w:numPr>
          <w:ilvl w:val="0"/>
          <w:numId w:val="5"/>
        </w:numPr>
        <w:rPr>
          <w:rFonts w:asciiTheme="minorHAnsi" w:hAnsiTheme="minorHAnsi" w:cstheme="minorHAnsi"/>
          <w:sz w:val="20"/>
          <w:szCs w:val="20"/>
        </w:rPr>
      </w:pPr>
      <w:r w:rsidRPr="008866A5">
        <w:rPr>
          <w:rFonts w:asciiTheme="minorHAnsi" w:hAnsiTheme="minorHAnsi" w:cstheme="minorHAnsi"/>
          <w:sz w:val="20"/>
          <w:szCs w:val="20"/>
        </w:rPr>
        <w:t>Palliative Care services</w:t>
      </w:r>
    </w:p>
    <w:p w:rsidR="00DE74DB" w:rsidRPr="009B2455" w:rsidRDefault="00DE74DB" w:rsidP="008866A5">
      <w:pPr>
        <w:pStyle w:val="ListParagraph"/>
        <w:numPr>
          <w:ilvl w:val="0"/>
          <w:numId w:val="5"/>
        </w:numPr>
        <w:spacing w:line="240" w:lineRule="auto"/>
        <w:rPr>
          <w:rFonts w:asciiTheme="minorHAnsi" w:hAnsiTheme="minorHAnsi" w:cstheme="minorHAnsi"/>
          <w:sz w:val="20"/>
          <w:szCs w:val="20"/>
        </w:rPr>
      </w:pPr>
      <w:r w:rsidRPr="008866A5">
        <w:rPr>
          <w:rFonts w:asciiTheme="minorHAnsi" w:hAnsiTheme="minorHAnsi" w:cstheme="minorHAnsi"/>
          <w:sz w:val="20"/>
          <w:szCs w:val="20"/>
        </w:rPr>
        <w:t>Pharmacist assistance with medicine management</w:t>
      </w:r>
    </w:p>
    <w:p w:rsidR="00DE74DB" w:rsidRPr="009B2455" w:rsidRDefault="00DE74DB" w:rsidP="008866A5">
      <w:pPr>
        <w:pStyle w:val="ListParagraph"/>
        <w:numPr>
          <w:ilvl w:val="0"/>
          <w:numId w:val="5"/>
        </w:numPr>
        <w:spacing w:line="240" w:lineRule="auto"/>
        <w:rPr>
          <w:rFonts w:asciiTheme="minorHAnsi" w:hAnsiTheme="minorHAnsi" w:cstheme="minorHAnsi"/>
          <w:sz w:val="20"/>
          <w:szCs w:val="20"/>
        </w:rPr>
      </w:pPr>
      <w:r w:rsidRPr="008866A5">
        <w:rPr>
          <w:rFonts w:asciiTheme="minorHAnsi" w:hAnsiTheme="minorHAnsi" w:cstheme="minorHAnsi"/>
          <w:sz w:val="20"/>
          <w:szCs w:val="20"/>
        </w:rPr>
        <w:t>Referral to Sport Bay of Plenty for free individual and whānau/family  lifestyle improvement education</w:t>
      </w:r>
    </w:p>
    <w:p w:rsidR="00DE74DB" w:rsidRPr="009B2455" w:rsidRDefault="00DE74DB" w:rsidP="008866A5">
      <w:pPr>
        <w:pStyle w:val="ListParagraph"/>
        <w:numPr>
          <w:ilvl w:val="0"/>
          <w:numId w:val="5"/>
        </w:numPr>
        <w:rPr>
          <w:rFonts w:asciiTheme="minorHAnsi" w:hAnsiTheme="minorHAnsi" w:cstheme="minorHAnsi"/>
          <w:sz w:val="20"/>
          <w:szCs w:val="20"/>
        </w:rPr>
      </w:pPr>
      <w:r w:rsidRPr="008866A5">
        <w:rPr>
          <w:rFonts w:asciiTheme="minorHAnsi" w:hAnsiTheme="minorHAnsi" w:cstheme="minorHAnsi"/>
          <w:sz w:val="20"/>
          <w:szCs w:val="20"/>
        </w:rPr>
        <w:t>Mental Health services</w:t>
      </w:r>
    </w:p>
    <w:p w:rsidR="00DE74DB" w:rsidRPr="008866A5" w:rsidRDefault="00DE74DB" w:rsidP="008866A5">
      <w:pPr>
        <w:pStyle w:val="ListParagraph"/>
        <w:numPr>
          <w:ilvl w:val="0"/>
          <w:numId w:val="5"/>
        </w:numPr>
        <w:rPr>
          <w:rFonts w:asciiTheme="minorHAnsi" w:hAnsiTheme="minorHAnsi" w:cstheme="minorHAnsi"/>
          <w:sz w:val="20"/>
          <w:szCs w:val="20"/>
        </w:rPr>
      </w:pPr>
      <w:r w:rsidRPr="008866A5">
        <w:rPr>
          <w:rFonts w:asciiTheme="minorHAnsi" w:hAnsiTheme="minorHAnsi" w:cstheme="minorHAnsi"/>
          <w:sz w:val="20"/>
          <w:szCs w:val="20"/>
        </w:rPr>
        <w:t>Acute Demand Services</w:t>
      </w:r>
    </w:p>
    <w:p w:rsidR="008866A5" w:rsidRDefault="008866A5" w:rsidP="001E2300">
      <w:pPr>
        <w:jc w:val="center"/>
        <w:rPr>
          <w:noProof/>
          <w:lang w:eastAsia="en-NZ"/>
        </w:rPr>
      </w:pPr>
    </w:p>
    <w:p w:rsidR="00DE74DB" w:rsidRDefault="00DE74DB" w:rsidP="001E2300">
      <w:pPr>
        <w:jc w:val="center"/>
      </w:pPr>
    </w:p>
    <w:sectPr w:rsidR="00DE74DB" w:rsidSect="009B2455">
      <w:headerReference w:type="default" r:id="rId16"/>
      <w:footerReference w:type="defaul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ED8" w:rsidRDefault="00843ED8" w:rsidP="008F3798">
      <w:pPr>
        <w:spacing w:after="0" w:line="240" w:lineRule="auto"/>
      </w:pPr>
      <w:r>
        <w:separator/>
      </w:r>
    </w:p>
  </w:endnote>
  <w:endnote w:type="continuationSeparator" w:id="0">
    <w:p w:rsidR="00843ED8" w:rsidRDefault="00843ED8" w:rsidP="008F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A" w:rsidRDefault="00FA298A">
    <w:pPr>
      <w:pStyle w:val="Footer"/>
    </w:pPr>
    <w:r>
      <w:t>September 2021</w:t>
    </w:r>
  </w:p>
  <w:p w:rsidR="00FA298A" w:rsidRDefault="00FA2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ED8" w:rsidRDefault="00843ED8" w:rsidP="008F3798">
      <w:pPr>
        <w:spacing w:after="0" w:line="240" w:lineRule="auto"/>
      </w:pPr>
      <w:r>
        <w:separator/>
      </w:r>
    </w:p>
  </w:footnote>
  <w:footnote w:type="continuationSeparator" w:id="0">
    <w:p w:rsidR="00843ED8" w:rsidRDefault="00843ED8" w:rsidP="008F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8A" w:rsidRPr="00FA298A" w:rsidRDefault="00FA298A">
    <w:pPr>
      <w:pStyle w:val="Header"/>
      <w:rPr>
        <w:sz w:val="16"/>
        <w:szCs w:val="16"/>
      </w:rPr>
    </w:pP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7B14"/>
    <w:multiLevelType w:val="hybridMultilevel"/>
    <w:tmpl w:val="430DBC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C07DA9"/>
    <w:multiLevelType w:val="hybridMultilevel"/>
    <w:tmpl w:val="C09752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EA3B8D"/>
    <w:multiLevelType w:val="hybridMultilevel"/>
    <w:tmpl w:val="119AA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E3B6607"/>
    <w:multiLevelType w:val="hybridMultilevel"/>
    <w:tmpl w:val="BC800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8E75090"/>
    <w:multiLevelType w:val="hybridMultilevel"/>
    <w:tmpl w:val="F874385C"/>
    <w:lvl w:ilvl="0" w:tplc="6CFC9E08">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833978"/>
    <w:multiLevelType w:val="hybridMultilevel"/>
    <w:tmpl w:val="E138BD34"/>
    <w:lvl w:ilvl="0" w:tplc="6CFC9E08">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C2831AD"/>
    <w:multiLevelType w:val="hybridMultilevel"/>
    <w:tmpl w:val="0D303AC4"/>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5B174F7"/>
    <w:multiLevelType w:val="hybridMultilevel"/>
    <w:tmpl w:val="17C89952"/>
    <w:lvl w:ilvl="0" w:tplc="6CFC9E08">
      <w:numFmt w:val="bullet"/>
      <w:lvlText w:val=""/>
      <w:lvlJc w:val="left"/>
      <w:pPr>
        <w:ind w:left="720" w:hanging="360"/>
      </w:pPr>
      <w:rPr>
        <w:rFonts w:ascii="Symbol" w:eastAsia="Calibri" w:hAnsi="Symbol" w:cs="Times New Roman" w:hint="default"/>
      </w:rPr>
    </w:lvl>
    <w:lvl w:ilvl="1" w:tplc="825A5D64">
      <w:numFmt w:val="bullet"/>
      <w:lvlText w:val="•"/>
      <w:lvlJc w:val="left"/>
      <w:pPr>
        <w:ind w:left="1440" w:hanging="36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7975FEF"/>
    <w:multiLevelType w:val="hybridMultilevel"/>
    <w:tmpl w:val="4ADE9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8FC6818"/>
    <w:multiLevelType w:val="hybridMultilevel"/>
    <w:tmpl w:val="F4726F9E"/>
    <w:lvl w:ilvl="0" w:tplc="6CFC9E08">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5ED4438"/>
    <w:multiLevelType w:val="hybridMultilevel"/>
    <w:tmpl w:val="D1D67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0"/>
  </w:num>
  <w:num w:numId="5">
    <w:abstractNumId w:val="2"/>
  </w:num>
  <w:num w:numId="6">
    <w:abstractNumId w:val="3"/>
  </w:num>
  <w:num w:numId="7">
    <w:abstractNumId w:val="8"/>
  </w:num>
  <w:num w:numId="8">
    <w:abstractNumId w:val="9"/>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98"/>
    <w:rsid w:val="000A6E87"/>
    <w:rsid w:val="000B50BD"/>
    <w:rsid w:val="001450D2"/>
    <w:rsid w:val="001E2300"/>
    <w:rsid w:val="002276C4"/>
    <w:rsid w:val="003D6364"/>
    <w:rsid w:val="005B7C3B"/>
    <w:rsid w:val="007A0979"/>
    <w:rsid w:val="0083306B"/>
    <w:rsid w:val="00836555"/>
    <w:rsid w:val="00843ED8"/>
    <w:rsid w:val="00855825"/>
    <w:rsid w:val="008866A5"/>
    <w:rsid w:val="008F3798"/>
    <w:rsid w:val="00937DE0"/>
    <w:rsid w:val="009B2455"/>
    <w:rsid w:val="00A002A3"/>
    <w:rsid w:val="00BB1D2F"/>
    <w:rsid w:val="00C6002A"/>
    <w:rsid w:val="00D11DED"/>
    <w:rsid w:val="00DE74DB"/>
    <w:rsid w:val="00DF604A"/>
    <w:rsid w:val="00E1780C"/>
    <w:rsid w:val="00E625B5"/>
    <w:rsid w:val="00E9235D"/>
    <w:rsid w:val="00E961DB"/>
    <w:rsid w:val="00F00CEF"/>
    <w:rsid w:val="00FA298A"/>
    <w:rsid w:val="00FB276E"/>
    <w:rsid w:val="00FD2D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2541E-5790-459D-B2DA-60EECE96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98"/>
    <w:pPr>
      <w:spacing w:after="200" w:line="276" w:lineRule="auto"/>
    </w:pPr>
    <w:rPr>
      <w:rFonts w:ascii="Arial" w:eastAsia="Calibri" w:hAnsi="Arial"/>
      <w:sz w:val="24"/>
      <w:szCs w:val="22"/>
    </w:rPr>
  </w:style>
  <w:style w:type="paragraph" w:styleId="Heading1">
    <w:name w:val="heading 1"/>
    <w:basedOn w:val="Normal"/>
    <w:next w:val="Normal"/>
    <w:link w:val="Heading1Char"/>
    <w:qFormat/>
    <w:rsid w:val="00E961DB"/>
    <w:pPr>
      <w:keepNext/>
      <w:spacing w:before="240" w:after="60"/>
      <w:outlineLvl w:val="0"/>
    </w:pPr>
    <w:rPr>
      <w:rFonts w:cs="Arial"/>
      <w:bCs/>
      <w:kern w:val="32"/>
      <w:sz w:val="22"/>
      <w:szCs w:val="32"/>
      <w:u w:val="single"/>
    </w:rPr>
  </w:style>
  <w:style w:type="paragraph" w:styleId="Heading2">
    <w:name w:val="heading 2"/>
    <w:basedOn w:val="Normal"/>
    <w:next w:val="Normal"/>
    <w:link w:val="Heading2Char"/>
    <w:qFormat/>
    <w:rsid w:val="00E961DB"/>
    <w:pPr>
      <w:keepNext/>
      <w:spacing w:before="240" w:after="60"/>
      <w:outlineLvl w:val="1"/>
    </w:pPr>
    <w:rPr>
      <w:rFonts w:cs="Arial"/>
      <w:bCs/>
      <w:iCs/>
      <w:color w:val="800000"/>
      <w:sz w:val="22"/>
      <w:szCs w:val="28"/>
    </w:rPr>
  </w:style>
  <w:style w:type="paragraph" w:styleId="Heading3">
    <w:name w:val="heading 3"/>
    <w:basedOn w:val="Normal"/>
    <w:next w:val="Normal"/>
    <w:link w:val="Heading3Char"/>
    <w:qFormat/>
    <w:rsid w:val="00E961DB"/>
    <w:pPr>
      <w:keepNext/>
      <w:autoSpaceDE w:val="0"/>
      <w:autoSpaceDN w:val="0"/>
      <w:adjustRightInd w:val="0"/>
      <w:outlineLvl w:val="2"/>
    </w:pPr>
    <w:rPr>
      <w:rFonts w:cs="Arial"/>
      <w:b/>
      <w:bCs/>
      <w:color w:val="000000"/>
      <w:sz w:val="72"/>
      <w:szCs w:val="72"/>
      <w:lang w:val="en-US"/>
    </w:rPr>
  </w:style>
  <w:style w:type="paragraph" w:styleId="Heading4">
    <w:name w:val="heading 4"/>
    <w:basedOn w:val="Normal"/>
    <w:next w:val="Normal"/>
    <w:link w:val="Heading4Char"/>
    <w:qFormat/>
    <w:rsid w:val="00E961DB"/>
    <w:pPr>
      <w:keepNext/>
      <w:autoSpaceDE w:val="0"/>
      <w:autoSpaceDN w:val="0"/>
      <w:adjustRightInd w:val="0"/>
      <w:outlineLvl w:val="3"/>
    </w:pPr>
    <w:rPr>
      <w:rFonts w:cs="Arial"/>
      <w:b/>
      <w:bCs/>
      <w:color w:val="000000"/>
      <w:sz w:val="20"/>
      <w:szCs w:val="72"/>
      <w:lang w:val="en-US"/>
    </w:rPr>
  </w:style>
  <w:style w:type="paragraph" w:styleId="Heading5">
    <w:name w:val="heading 5"/>
    <w:basedOn w:val="Normal"/>
    <w:next w:val="Normal"/>
    <w:link w:val="Heading5Char"/>
    <w:qFormat/>
    <w:rsid w:val="00E961DB"/>
    <w:pPr>
      <w:keepNext/>
      <w:autoSpaceDE w:val="0"/>
      <w:autoSpaceDN w:val="0"/>
      <w:adjustRightInd w:val="0"/>
      <w:jc w:val="center"/>
      <w:outlineLvl w:val="4"/>
    </w:pPr>
    <w:rPr>
      <w:rFonts w:cs="Arial"/>
      <w:b/>
      <w:bCs/>
      <w:color w:val="000000"/>
      <w:lang w:val="en-US"/>
    </w:rPr>
  </w:style>
  <w:style w:type="paragraph" w:styleId="Heading6">
    <w:name w:val="heading 6"/>
    <w:basedOn w:val="Normal"/>
    <w:next w:val="Normal"/>
    <w:link w:val="Heading6Char"/>
    <w:qFormat/>
    <w:rsid w:val="00E961DB"/>
    <w:pPr>
      <w:keepNext/>
      <w:autoSpaceDE w:val="0"/>
      <w:autoSpaceDN w:val="0"/>
      <w:adjustRightInd w:val="0"/>
      <w:jc w:val="center"/>
      <w:outlineLvl w:val="5"/>
    </w:pPr>
    <w:rPr>
      <w:rFonts w:cs="Arial"/>
      <w:b/>
      <w:bCs/>
      <w:color w:val="FF0000"/>
      <w:lang w:val="en-US"/>
    </w:rPr>
  </w:style>
  <w:style w:type="paragraph" w:styleId="Heading7">
    <w:name w:val="heading 7"/>
    <w:basedOn w:val="Normal"/>
    <w:next w:val="Normal"/>
    <w:link w:val="Heading7Char"/>
    <w:qFormat/>
    <w:rsid w:val="00E961DB"/>
    <w:pPr>
      <w:keepNext/>
      <w:jc w:val="right"/>
      <w:outlineLvl w:val="6"/>
    </w:pPr>
    <w:rPr>
      <w:b/>
      <w:bCs/>
      <w:color w:val="808080"/>
      <w:sz w:val="16"/>
    </w:rPr>
  </w:style>
  <w:style w:type="paragraph" w:styleId="Heading8">
    <w:name w:val="heading 8"/>
    <w:basedOn w:val="Normal"/>
    <w:next w:val="Normal"/>
    <w:link w:val="Heading8Char"/>
    <w:qFormat/>
    <w:rsid w:val="00E961DB"/>
    <w:pPr>
      <w:keepNext/>
      <w:outlineLvl w:val="7"/>
    </w:pPr>
    <w:rPr>
      <w:rFonts w:cs="Arial"/>
      <w:b/>
      <w:bCs/>
      <w:color w:val="FF0000"/>
      <w:sz w:val="20"/>
      <w:szCs w:val="20"/>
    </w:rPr>
  </w:style>
  <w:style w:type="paragraph" w:styleId="Heading9">
    <w:name w:val="heading 9"/>
    <w:basedOn w:val="Normal"/>
    <w:next w:val="Normal"/>
    <w:link w:val="Heading9Char"/>
    <w:qFormat/>
    <w:rsid w:val="00E961DB"/>
    <w:pPr>
      <w:keepNext/>
      <w:outlineLvl w:val="8"/>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 higeag"/>
    <w:link w:val="NoSpacingChar"/>
    <w:uiPriority w:val="1"/>
    <w:qFormat/>
    <w:rsid w:val="00E961DB"/>
    <w:rPr>
      <w:rFonts w:ascii="Arial" w:hAnsi="Arial"/>
      <w:sz w:val="24"/>
      <w:szCs w:val="24"/>
      <w:lang w:val="en-GB"/>
    </w:rPr>
  </w:style>
  <w:style w:type="character" w:customStyle="1" w:styleId="Heading1Char">
    <w:name w:val="Heading 1 Char"/>
    <w:basedOn w:val="DefaultParagraphFont"/>
    <w:link w:val="Heading1"/>
    <w:rsid w:val="00E961DB"/>
    <w:rPr>
      <w:rFonts w:ascii="Arial" w:hAnsi="Arial" w:cs="Arial"/>
      <w:bCs/>
      <w:kern w:val="32"/>
      <w:sz w:val="22"/>
      <w:szCs w:val="32"/>
      <w:u w:val="single"/>
      <w:lang w:val="en-GB"/>
    </w:rPr>
  </w:style>
  <w:style w:type="character" w:customStyle="1" w:styleId="Heading2Char">
    <w:name w:val="Heading 2 Char"/>
    <w:basedOn w:val="DefaultParagraphFont"/>
    <w:link w:val="Heading2"/>
    <w:rsid w:val="00E961DB"/>
    <w:rPr>
      <w:rFonts w:ascii="Arial" w:hAnsi="Arial" w:cs="Arial"/>
      <w:bCs/>
      <w:iCs/>
      <w:color w:val="800000"/>
      <w:sz w:val="22"/>
      <w:szCs w:val="28"/>
      <w:lang w:val="en-GB"/>
    </w:rPr>
  </w:style>
  <w:style w:type="character" w:customStyle="1" w:styleId="Heading3Char">
    <w:name w:val="Heading 3 Char"/>
    <w:basedOn w:val="DefaultParagraphFont"/>
    <w:link w:val="Heading3"/>
    <w:rsid w:val="00E961DB"/>
    <w:rPr>
      <w:rFonts w:ascii="Arial" w:hAnsi="Arial" w:cs="Arial"/>
      <w:b/>
      <w:bCs/>
      <w:color w:val="000000"/>
      <w:sz w:val="72"/>
      <w:szCs w:val="72"/>
      <w:lang w:val="en-US"/>
    </w:rPr>
  </w:style>
  <w:style w:type="character" w:customStyle="1" w:styleId="Heading4Char">
    <w:name w:val="Heading 4 Char"/>
    <w:basedOn w:val="DefaultParagraphFont"/>
    <w:link w:val="Heading4"/>
    <w:rsid w:val="00E961DB"/>
    <w:rPr>
      <w:rFonts w:ascii="Arial" w:hAnsi="Arial" w:cs="Arial"/>
      <w:b/>
      <w:bCs/>
      <w:color w:val="000000"/>
      <w:szCs w:val="72"/>
      <w:lang w:val="en-US"/>
    </w:rPr>
  </w:style>
  <w:style w:type="character" w:customStyle="1" w:styleId="Heading5Char">
    <w:name w:val="Heading 5 Char"/>
    <w:basedOn w:val="DefaultParagraphFont"/>
    <w:link w:val="Heading5"/>
    <w:rsid w:val="00E961DB"/>
    <w:rPr>
      <w:rFonts w:ascii="Arial" w:hAnsi="Arial" w:cs="Arial"/>
      <w:b/>
      <w:bCs/>
      <w:color w:val="000000"/>
      <w:sz w:val="24"/>
      <w:szCs w:val="24"/>
      <w:lang w:val="en-US"/>
    </w:rPr>
  </w:style>
  <w:style w:type="character" w:customStyle="1" w:styleId="Heading6Char">
    <w:name w:val="Heading 6 Char"/>
    <w:basedOn w:val="DefaultParagraphFont"/>
    <w:link w:val="Heading6"/>
    <w:rsid w:val="00E961DB"/>
    <w:rPr>
      <w:rFonts w:ascii="Arial" w:hAnsi="Arial" w:cs="Arial"/>
      <w:b/>
      <w:bCs/>
      <w:color w:val="FF0000"/>
      <w:sz w:val="24"/>
      <w:szCs w:val="24"/>
      <w:lang w:val="en-US"/>
    </w:rPr>
  </w:style>
  <w:style w:type="character" w:customStyle="1" w:styleId="Heading7Char">
    <w:name w:val="Heading 7 Char"/>
    <w:basedOn w:val="DefaultParagraphFont"/>
    <w:link w:val="Heading7"/>
    <w:rsid w:val="00E961DB"/>
    <w:rPr>
      <w:rFonts w:ascii="Arial" w:hAnsi="Arial"/>
      <w:b/>
      <w:bCs/>
      <w:color w:val="808080"/>
      <w:sz w:val="16"/>
      <w:szCs w:val="24"/>
      <w:lang w:val="en-GB"/>
    </w:rPr>
  </w:style>
  <w:style w:type="character" w:customStyle="1" w:styleId="Heading8Char">
    <w:name w:val="Heading 8 Char"/>
    <w:basedOn w:val="DefaultParagraphFont"/>
    <w:link w:val="Heading8"/>
    <w:rsid w:val="00E961DB"/>
    <w:rPr>
      <w:rFonts w:ascii="Arial" w:hAnsi="Arial" w:cs="Arial"/>
      <w:b/>
      <w:bCs/>
      <w:color w:val="FF0000"/>
      <w:lang w:val="en-GB"/>
    </w:rPr>
  </w:style>
  <w:style w:type="character" w:customStyle="1" w:styleId="Heading9Char">
    <w:name w:val="Heading 9 Char"/>
    <w:basedOn w:val="DefaultParagraphFont"/>
    <w:link w:val="Heading9"/>
    <w:rsid w:val="00E961DB"/>
    <w:rPr>
      <w:rFonts w:ascii="Arial" w:hAnsi="Arial" w:cs="Arial"/>
      <w:b/>
      <w:bCs/>
      <w:lang w:val="en-GB"/>
    </w:rPr>
  </w:style>
  <w:style w:type="paragraph" w:styleId="Header">
    <w:name w:val="header"/>
    <w:basedOn w:val="Normal"/>
    <w:link w:val="HeaderChar"/>
    <w:uiPriority w:val="99"/>
    <w:unhideWhenUsed/>
    <w:rsid w:val="008F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798"/>
    <w:rPr>
      <w:rFonts w:ascii="Arial" w:eastAsia="Calibri" w:hAnsi="Arial"/>
      <w:sz w:val="24"/>
      <w:szCs w:val="22"/>
    </w:rPr>
  </w:style>
  <w:style w:type="paragraph" w:styleId="Footer">
    <w:name w:val="footer"/>
    <w:basedOn w:val="Normal"/>
    <w:link w:val="FooterChar"/>
    <w:uiPriority w:val="99"/>
    <w:unhideWhenUsed/>
    <w:rsid w:val="008F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798"/>
    <w:rPr>
      <w:rFonts w:ascii="Arial" w:eastAsia="Calibri" w:hAnsi="Arial"/>
      <w:sz w:val="24"/>
      <w:szCs w:val="22"/>
    </w:rPr>
  </w:style>
  <w:style w:type="paragraph" w:styleId="BalloonText">
    <w:name w:val="Balloon Text"/>
    <w:basedOn w:val="Normal"/>
    <w:link w:val="BalloonTextChar"/>
    <w:uiPriority w:val="99"/>
    <w:semiHidden/>
    <w:unhideWhenUsed/>
    <w:rsid w:val="008F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98"/>
    <w:rPr>
      <w:rFonts w:ascii="Tahoma" w:eastAsia="Calibri" w:hAnsi="Tahoma" w:cs="Tahoma"/>
      <w:sz w:val="16"/>
      <w:szCs w:val="16"/>
    </w:rPr>
  </w:style>
  <w:style w:type="character" w:styleId="Hyperlink">
    <w:name w:val="Hyperlink"/>
    <w:uiPriority w:val="99"/>
    <w:unhideWhenUsed/>
    <w:rsid w:val="008F3798"/>
    <w:rPr>
      <w:color w:val="0000FF"/>
      <w:u w:val="single"/>
    </w:rPr>
  </w:style>
  <w:style w:type="character" w:customStyle="1" w:styleId="NoSpacingChar">
    <w:name w:val="No Spacing Char"/>
    <w:aliases w:val="No Spacing higeag Char"/>
    <w:basedOn w:val="DefaultParagraphFont"/>
    <w:link w:val="NoSpacing"/>
    <w:uiPriority w:val="1"/>
    <w:rsid w:val="008F3798"/>
    <w:rPr>
      <w:rFonts w:ascii="Arial" w:hAnsi="Arial"/>
      <w:sz w:val="24"/>
      <w:szCs w:val="24"/>
      <w:lang w:val="en-GB"/>
    </w:rPr>
  </w:style>
  <w:style w:type="paragraph" w:styleId="ListParagraph">
    <w:name w:val="List Paragraph"/>
    <w:basedOn w:val="Normal"/>
    <w:uiPriority w:val="34"/>
    <w:qFormat/>
    <w:rsid w:val="005B7C3B"/>
    <w:pPr>
      <w:ind w:left="720"/>
      <w:contextualSpacing/>
    </w:pPr>
  </w:style>
  <w:style w:type="paragraph" w:customStyle="1" w:styleId="Default">
    <w:name w:val="Default"/>
    <w:rsid w:val="00FD2DCB"/>
    <w:pPr>
      <w:autoSpaceDE w:val="0"/>
      <w:autoSpaceDN w:val="0"/>
      <w:adjustRightInd w:val="0"/>
    </w:pPr>
    <w:rPr>
      <w:rFonts w:ascii="Symbol" w:hAnsi="Symbol" w:cs="Symbol"/>
      <w:color w:val="000000"/>
      <w:sz w:val="24"/>
      <w:szCs w:val="24"/>
    </w:rPr>
  </w:style>
  <w:style w:type="table" w:styleId="TableGrid">
    <w:name w:val="Table Grid"/>
    <w:basedOn w:val="TableNormal"/>
    <w:uiPriority w:val="59"/>
    <w:rsid w:val="007A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legislation.govt.nz%20"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t.nz/our-work/digital-health/digital-health-sector-architecture-standards-and-governance/health-information-standards-0/standards-development/personal-health-information-standards" TargetMode="External"/><Relationship Id="rId5" Type="http://schemas.openxmlformats.org/officeDocument/2006/relationships/webSettings" Target="webSettings.xml"/><Relationship Id="rId15" Type="http://schemas.openxmlformats.org/officeDocument/2006/relationships/hyperlink" Target="http://www.wboppho.org.nz/services" TargetMode="External"/><Relationship Id="rId10" Type="http://schemas.openxmlformats.org/officeDocument/2006/relationships/hyperlink" Target="http://ethics.health.govt.nz/operating-procedures%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www.privacy.org.nz.%20"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1568-E3E8-4244-8D5A-444C41AE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RGPG</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Farquhar</dc:creator>
  <cp:lastModifiedBy>Chris Fyfe</cp:lastModifiedBy>
  <cp:revision>2</cp:revision>
  <cp:lastPrinted>2018-08-01T02:39:00Z</cp:lastPrinted>
  <dcterms:created xsi:type="dcterms:W3CDTF">2022-10-28T03:02:00Z</dcterms:created>
  <dcterms:modified xsi:type="dcterms:W3CDTF">2022-10-28T03:02:00Z</dcterms:modified>
</cp:coreProperties>
</file>